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AC/1613/2020 vom 8. Dezember 2021</w:t>
      </w:r>
    </w:p>
    <w:p>
      <w:r>
        <w:t>GE Cour de justice, 2021-12-08, FR</w:t>
      </w:r>
    </w:p>
    <w:p>
      <w:r>
        <w:rPr>
          <w:b/>
        </w:rPr>
        <w:t xml:space="preserve">Quelle: </w:t>
      </w:r>
      <w:r>
        <w:t>https://mcp.opencaselaw.ch/entscheid/ge_gerichte_AC_1613_2020</w:t>
      </w:r>
    </w:p>
    <w:p>
      <w:r>
        <w:t>FR: GE_GERICHTE AC/1613/2020 du 8 décembre 2021</w:t>
      </w:r>
    </w:p>
    <w:p>
      <w:r>
        <w:t>IT: GE_GERICHTE AC/1613/2020 del 8 dicembre 2021</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Le recourant fait grief au Tribunal d’avoir mal apprécié les chances de succès de son appel. En effet, le Tribunal des baux et Loyers avait ignoré, outre les rapports tendus entre les parties, qu’un logement constitué du même nombre de pièces et au même étage que le sien avaient été libéré huit mois après la notification du congé et que la bailleresse n’avait pas saisi l’occasion d’y loger sa fille, démontrant ainsi que le motif du congé invoqué n’était qu’un prétexte. Cela était d’autant plus évident que le motif dont la bailleresse s’était initialement prévalue dans son courrier du 3 mars 2020 n’était pas la mise à disposition dudit logement en faveur de sa fille et qu’elle s’était bien gardée, lors de son audition, d’indiquer la libération, quelques mois après le congé, de l’appartement de 2 pièces sis au 6ème étage de l’immeuble.![endif]&gt;![if&gt;</w:t>
      </w:r>
    </w:p>
    <w:p>
      <w:r>
        <w:rPr>
          <w:b/>
        </w:rPr>
        <w:t>E. 2.1.1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w:t>
      </w:r>
    </w:p>
    <w:p>
      <w:r>
        <w:t>Les parties au contrat sont libres de résilier un bail de durée indéterminée pour le prochain terme légal ou contractuel ; un motif particulier n'est pas exigé (art. 266a al. 1 CO). Le congé est toutefois annulable lorsqu'il contrevient aux règles de la bonne foi (art. 271 al. 1 CO; cf. également art. 271a CO). Tel est le cas lorsqu'il ne répond à aucun intérêt objectif, sérieux et digne de protection et qu'il apparaît ainsi purement chicanier. En règle générale, l'absence d'intérêt digne de protection du bailleur est également admise lorsque la motivation du congé, demandée par le locataire, est lacunaire ou fausse (ATF 140 III 496 consid. 4.1; 138 III 59 consid. 2). L'absence de motivation ou une motivation erronée peut être l'indice que le congé ne répond à aucun intérêt digne de protection. Aussi le caractère abusif sera-t-il en principe retenu lorsque le motif invoqué n'est qu'un simple prétexte tandis que le véritable motif n'est pas constatable (ATF 138 III 59 précité consid. 2.1; 132 III 737 consid. 3.4.2; 125 III 231 consid. 4b ; arrêt du Tribunal fédéral 4A_198/2016 du 7 octobre 2016 consid. 4.4.1). Un congé donné par un bailleur qui entend disposer des locaux pour lui-même ou les mettre à disposition de membres de sa famille ou de proches ne contrevient pas aux règles de la bonne foi, même si le besoin invoqué n'est ni immédiat, ni urgent. On ne saurait en effet imposer au propriétaire d'attendre le moment où le besoin se concrétise, compte tenu du temps habituellement nécessaire pour récupérer effectivement un appartement après une résiliation. Même le fait qu'un bailleur soit propriétaire de plusieurs immeubles n'implique pas nécessairement que la résiliation d'un contrat de bail pour ses besoins propres soit contraire aux règles de la bonne foi (arrêt du Tribunal fédéral 4A_130/2008 du 26 mai 2008 consid. 2; ACJC/357/2020 du 2 mars 2020 consid. 2.1.5; ACJC/790/2017 du 26 juin 2017 consid. 3.1). Pour déterminer le sens et la portée du motif invoqué, il faut se placer au moment où le congé a été notifié (ATF 140 III 496 consid. 4.1 p. 497; 138 III 59 consid. 2.1 ; arrêts du Tribunal fédéral 4A_735/2011 du 16 janvier 2012 consid. 2.2; 4A_198/2016 du 7 octobre 2016 consid. 4.4.1). Rien n'interdit de prendre en compte des faits postérieurs en vue de reconstituer ce que devait être la volonté réelle au moment où la résiliation a été donnée (arrêt du Tribunal fédéral 4A_623/2010 du 2 février 2011 consid. 2.4 et 2.5). Des faits survenus ultérieurement ne sont en effet pas susceptibles d'influer a posteriori sur cette qualification. Tout au plus peuvent-ils fournir un éclairage sur les intentions du bailleur au moment de la résiliation (ATF 138 III 59 consid. 2.1 in fine; arrêt du Tribunal fédéral 4A_200/2017 du 29 août 2017 consid. 3.2.1). C'est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120 II 105 consid. 3c; arrêt du Tribunal fédéral 4A_472/2007 du 11 mars 2008 consid. 2.1).</w:t>
      </w:r>
    </w:p>
    <w:p>
      <w:r>
        <w:rPr>
          <w:b/>
        </w:rPr>
        <w:t>E. 2.2</w:t>
      </w:r>
    </w:p>
    <w:p>
      <w:r>
        <w:t>En l'espèce, le Tribunal des baux et loyers a considéré que la bailleresse avait démontré sa volonté réelle, au moment de la notification du congé, de mettre à disposition de sa fille le logement loué au recourant. En effet, les enquêtes et la chronologie des faits, soit la concordance entre le moment où sa fille avait émis le souhait de loger au centre-ville, dans l’immeuble en question, si possible au même étage que sa grand-mère, et la date de notification du congé, plaidaient en faveur d’une telle intention. En outre, les autres studios qui s’étaient libérés dans l’immeuble l’avaient été après que le congé avait été donné. Enfin, le motif du congé initialement invoqué par la bailleresse, soit la lutte contre la pénurie compte tenu du fait que le recourant occupait l’appartement comme résidence secondaire, n’était pas en contradiction avec la précision donnée par la suite, à savoir son souhait de mettre le logement à disposition de sa fille. Le recourant conteste cette interprétation en se prévalant du fait que bien qu’un des appartements libérés après la notification du congé correspondît au logement que la bailleresse souhaitait récupérer, celle-ci n’avait pas saisi l’occasion pour y loger sa fille. Il résulte du dossier que l’appartement de 2 pièces en question a été libéré dans le courant 2020 et reloué le 1 er octobre 2020, alors que la bailleresse, qui avait déjà notifié le congé en janvier 2020 au recourant, n’entendait récupérer le logement qu’elle destinait à sa fille qu’au 1 er décembre 2020, soit à une date postérieure au 1 er octobre 2020. Or, rien ne permet de penser que le besoin de la bailleresse était urgent. Elle pouvait légitimement souhaiter avoir un appartement libre en fin d’année 2020 pour que sa fille s’y installe dans le courant 2021. Par conséquent, l’élément invoqué par le recourant n’apparaît prima facie pas suffisant pour remettre en question la réalité du motif du congé invoqué. Le recourant n’a au demeurant fourni aucun indice pour remettre en cause l’appréciation du Tribunal des baux et loyers sur l’absence de corrélation entre le congé et les litiges relatifs aux charges, aux stores ou à la cuisinière dont il s’était prévalu durant la procédure. Enfin, l’interprétation du Tribunal des baux et loyers selon laquelle le motif du congé invoqué n’avait pas varié durant la procédure ne prête a priori pas le flanc à la critique. Dans ces conditions, c'est à juste titre que la vice-présidente du Tribunal de première instance a refusé d'octroyer le bénéfice de l'assistance juridique au recourant au motif que la condition des chances de succès n'était pas réalisée. Partant, le recours, infondé, sera rejeté.</w:t>
      </w:r>
    </w:p>
    <w:p>
      <w:r>
        <w:rPr>
          <w:b/>
        </w:rPr>
        <w:t>E. 3</w:t>
      </w:r>
    </w:p>
    <w:p>
      <w:r>
        <w:t>Pour le surplus, l'instance de recours n'est pas compétente pour statuer sur la requête du recourant en commission d'un avocat d'office pour la présente procédure de recours (cf. art. 1 RAJ).![endif]&gt;![if&gt;</w:t>
      </w:r>
    </w:p>
    <w:p>
      <w:r>
        <w:rPr>
          <w:b/>
        </w:rPr>
        <w:t>E. 4</w:t>
      </w:r>
    </w:p>
    <w:p>
      <w:r>
        <w:t>Sauf exceptions non réalisées en l'espèce, il n'est pas perçu de frais judiciaires pour la procédure d'assistance juridique (art. 119 al. 6 CPC). Compte tenu de l'issue du litige, il n'y a pas lieu à l'octroi de dépens.![endif]&gt;![if&gt;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