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AC/1596/2013 vom 19. September 2013</w:t>
      </w:r>
    </w:p>
    <w:p>
      <w:r>
        <w:t>GE Cour de justice, 2013-09-19, FR</w:t>
      </w:r>
    </w:p>
    <w:p>
      <w:r>
        <w:rPr>
          <w:b/>
        </w:rPr>
        <w:t xml:space="preserve">Quelle: </w:t>
      </w:r>
      <w:r>
        <w:t>https://mcp.opencaselaw.ch/entscheid/ge_gerichte_AC_1596_2013</w:t>
      </w:r>
    </w:p>
    <w:p>
      <w:r>
        <w:t>FR: GE_GERICHTE AC/1596/2013 du 19 septembre 2013</w:t>
      </w:r>
    </w:p>
    <w:p>
      <w:r>
        <w:t>IT: GE_GERICHTE AC/1596/2013 del 19 settembre 2013</w:t>
      </w:r>
    </w:p>
    <w:p>
      <w:pPr>
        <w:pStyle w:val="Heading2"/>
      </w:pPr>
      <w:r>
        <w:t>Regeste</w:t>
      </w:r>
    </w:p>
    <w:p>
      <w:r>
        <w:t>DÉNUEMENT; CONJOINT; DEVOIR D'ASSISTANCE(FAMILLE); RÉSERVE(CAPITAL); SUBSIDIARITÉ | CPC.117.A; CC.328</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L'entretien d'un enfant majeur qui suit une formation est pris en compte dans le calcul du minimum vital d'un requérant d'assistance juridique (SJ 2000 II 199, p. 216; normes d'insaisissabilité pour l'année 2010, ch. II, n°6, p. 4; art. 277 CC).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L'obligation alimentaire au sens de l'art. 328 CC ne se limite pas au strict minimum vital du droit des poursuites (ATF 106 II 287 consid. 3a; 81 II 427 ) et peut, selon les circonstances, inclure la prise en charge de frais pour lesquels l'intervention obligatoire de l'Etat reste, comme en matière d'assistance juridique, subsidiaire (ATF 119 Ia 134 consid. 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 cf. également SJ 1993 p. 454, qui enjoint d'obtenir un prêt sur la part d'une succession non partagée ou de contracter un emprunt garanti par cette part).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 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 DAAJ/14/2013 ; Donzallaz, Loi sur le Tribunal fédéral : commentaire, Berne 2008, n. 1815 ad art. 64 LTF).</w:t>
      </w:r>
    </w:p>
    <w:p>
      <w:r>
        <w:rPr>
          <w:b/>
        </w:rPr>
        <w:t>E. 3.2</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rPr>
          <w:b/>
        </w:rPr>
        <w:t>E. 3.3</w:t>
      </w:r>
    </w:p>
    <w:p>
      <w:r>
        <w:t>En l'espèce, il n'est pas contesté que l'épouse du recourant dispose d'une fortune mobilière de l'ordre de 158'000 fr. Il convient dès lors de déterminer si, comme cela est allégué, cette fortune constitue une réserve de secours pour la famille et ne doit donc pas être prise en considération pour l'octroi éventuel de l'assistance juridique. Il convient de tenir compte du fait que le recourant est sans revenus propres, que ses perspectives de trouver un emploi sont minces au vu de son âge, et que les seuls revenus de son épouse sont constitués de sa rente AVS. Dans cette mesure, il y a lieu de considérer qu'un montant de 80'000 fr. constitue la réserve de secours du recourant et de son épouse. En ce qui concerne la fille cadette, il n'a pas été prouvé qu'elle poursuivait effectivement une formation. Au demeurant, compte tenu de son âge, il doit être tenu pour vraisemblable qu'elle a d'ores et déjà acquis une formation de base suffisante, partant, que ses parents n'ont plus d'obligation d'entretien à son égard, de sorte qu'aucune partie de la fortune de la mère ne sera retenue à titre de réserve de secours à son égard. Même en déduisant la réserve de secours admissible de la fortune de l'épouse, il reste encore un montant disponible de 78'000 fr. environ, voire 53'000 fr. si l'on prend en compte les frais médicaux futurs allégués, ces montants étant largement suffisants pour couvrir les frais de la procédure envisagée ainsi que les honoraires d'avocat. Par ailleurs, dans la mesure où la fille aînée du couple fait ménage commun avec ses parents et au vu de son salaire mensuel déclaré de 7'000 fr., il pourrait également être exigé de la part de celle-ci qu'elle participe aux frais précités, ou à tout le moins qu'elle participe davantage aux charges du ménage. Pour le surplus, au vu de la jurisprudence susmentionnée, il pourrait même être exigé du recourant qu'il obtienne de ses cohéritiers une avance sur sa part de la succession litigieuse, dont il n'est pas allégué qu'elle aurait été partagée. Enfin, il y a lieu de relever que les dettes du recourant n'ont pas à être prises en considération dans l'examen de la condition de l'indigence, dès lors qu'il n'a ni été allégué, ni prouvé que celles-ci faisaient l'objet d'un remboursement. Compte tenu de l'ensemble des éléments qui précèdent, le premier juge a, à bon droit, considéré que le recourant ne remplissait pas la condition de l'indigence.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19 septembre 2013 par la Vice-présidente du Tribunal civil dans la cause AC/1596/2013. Au fond : Le rejette. Déboute A______ de toutes autres conclusions. Dit qu'il n'est pas perçu de frais judiciaires. Notifie une copie de la présente décision à A______ en l'Étude de M e François CANONICA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