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AC/1583/2016 vom 6. Juli 2016</w:t>
      </w:r>
    </w:p>
    <w:p>
      <w:r>
        <w:t>GE Cour de justice, 2016-07-06, FR</w:t>
      </w:r>
    </w:p>
    <w:p>
      <w:r>
        <w:rPr>
          <w:b/>
        </w:rPr>
        <w:t xml:space="preserve">Quelle: </w:t>
      </w:r>
      <w:r>
        <w:t>https://mcp.opencaselaw.ch/entscheid/ge_gerichte_AC_1583_2016</w:t>
      </w:r>
    </w:p>
    <w:p>
      <w:r>
        <w:t>FR: GE_GERICHTE AC/1583/2016 du 6 juillet 2016</w:t>
      </w:r>
    </w:p>
    <w:p>
      <w:r>
        <w:t>IT: GE_GERICHTE AC/1583/2016 del 6 luglio 2016</w:t>
      </w:r>
    </w:p>
    <w:p>
      <w:pPr>
        <w:pStyle w:val="Heading2"/>
      </w:pPr>
      <w:r>
        <w:t>Regeste</w:t>
      </w:r>
    </w:p>
    <w:p>
      <w:r>
        <w:t>REMPLACEMENT; AVOCAT</w:t>
      </w:r>
    </w:p>
    <w:p>
      <w:pPr>
        <w:pStyle w:val="Heading2"/>
      </w:pPr>
      <w:r>
        <w:t>Erwägungen</w:t>
      </w:r>
    </w:p>
    <w:p>
      <w:r>
        <w:rPr>
          <w:b/>
        </w:rPr>
        <w:t>E. 1.1</w:t>
      </w:r>
    </w:p>
    <w:p>
      <w:r>
        <w:t>La décision entreprise est sujette à recours auprès du président de la Cour de justice en tant qu'elle refuse un changement d'avocat (art. 14 RAJ ; art. 121 CPC et art. 21 al. 3 LaCC), compétence déléguée au vice-président soussigné (art. 29 al. 5 LOJ ; arrêt du Tribunal fédéral 2D_6/2012 du 31 juillet 2012 consid. 2). Le recours, écrit et motivé, est introduit auprès de l'instance de recours (art. 32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 En l'espèce, il ressort de la procédure que l'avocat nommé d'office, ou le stagiaire travaillant sous sa supervision, a fait unilatéralement le choix de ne pas faire figurer certains faits dans le mémoire de réponse de la recourante sans l'en informer et qu'il n'a pas soumis cette écriture à la recourante avant de la faire parvenir au Tribunal. La recourante a ainsi été mise devant le fait accompli sans avoir la possibilité de faire modifier le contenu de l'écriture. En outre, les faits volontairement omis par l'avocat – dont le refus du père de remettre le passeport de l'enfant à la mère ou le non-respect du droit de garde le mercredi – constituent des éléments qui, mis ensembles, auraient permis au juge de se forger une opinion sur le comportement du père vis-à-vis de la mère. Or, la capacité du père à coopérer avec la recourante constitue l'un des éléments pertinent pour juger de la possibilité d'une garde partagée. Ces faits pouvaient en outre être allégués sans preuve à l'appui dans le mémoire de réponse, le juge pouvant ensuite instruire d'office sur ces faits en cours de procédure. Au vu de ce qui précède, la perte de confiance de la recourante envers l'avocat nommé d'office repose sur des motifs objectifs. Il se justifie dès lors de faire droit à la requête de changement d'avocat sollicité. Par conséquent, le recours sera admis et la décision querellée annulée. M e D______, avocat de choix, a d'ores et déjà accepté d'assurer la défense de la recourante. Il sera dès lors désigné avocat d'office en lieu et place de M e C______, avec effet au 1 er juin 2016, date à laquelle la recourante a sollicité le changement d'avocat.</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6 juillet 2016 par le Vice-président du Tribunal civil dans la cause AC/1583/2016. Au fond : Annule cette décision. Relève M e C______ de ses fonctions avec effet au 1 er juin 2016. Nomme d'office M e D______ aux fins d'assurer la défense des intérêts de A______ dans le cadre de la procédure C/6656/2013 devant le Tribunal de protection de l'adulte et de l'enfant. Maintient les autres conditions posées à l'octroi de l'assistance juridique dans la décision du 30 mai 2016. Déboute A______ de toutes autres conclusions. Dit qu'il n'est pas perçu de frais judiciaires pour le recours. Notifie une copie de la présente décision à A______ (art. 327 al. 5 CPC et 8 al. 3 RAJ) ainsi qu'à M e C______ et M e D______, avocats,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