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AC/1579/2015 vom 2. Juni 2015</w:t>
      </w:r>
    </w:p>
    <w:p>
      <w:r>
        <w:t>GE Cour de justice, 2015-06-02, FR</w:t>
      </w:r>
    </w:p>
    <w:p>
      <w:r>
        <w:rPr>
          <w:b/>
        </w:rPr>
        <w:t xml:space="preserve">Quelle: </w:t>
      </w:r>
      <w:r>
        <w:t>https://mcp.opencaselaw.ch/entscheid/ge_gerichte_AC_1579_2015</w:t>
      </w:r>
    </w:p>
    <w:p>
      <w:r>
        <w:t>FR: GE_GERICHTE AC/1579/2015 du 2 juin 2015</w:t>
      </w:r>
    </w:p>
    <w:p>
      <w:r>
        <w:t>IT: GE_GERICHTE AC/1579/2015 del 2 giugno 2015</w:t>
      </w:r>
    </w:p>
    <w:p>
      <w:pPr>
        <w:pStyle w:val="Heading2"/>
      </w:pPr>
      <w:r>
        <w:t>Regeste</w:t>
      </w:r>
    </w:p>
    <w:p>
      <w:r>
        <w:t>CONDITION DE RECEVABILITÉ; MOTIVATION</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 ![endif]&gt;![if&gt;</w:t>
      </w:r>
    </w:p>
    <w:p>
      <w:r>
        <w:rPr>
          <w:b/>
        </w:rPr>
        <w:t>E. 1.2</w:t>
      </w:r>
    </w:p>
    <w:p>
      <w:r>
        <w:t>Le recours a été déposé dans le délai utile et selon la forme prescrite par la loi, sous réserve de l'exigence de motivation du recours.</w:t>
      </w:r>
    </w:p>
    <w:p>
      <w:r>
        <w:rPr>
          <w:b/>
        </w:rPr>
        <w:t>E. 2</w:t>
      </w:r>
    </w:p>
    <w:p>
      <w:r>
        <w:t>2.1.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 Par surabondance, même en ajoutant aux charges admises par le premier juge les frais découlant de la maladie de la recourante - soit 23 fr. 70 de prime mensuelle d'assurance-maladie complémentaire et 453 fr. de frais médicaux non couverts par mois (5'427 fr. déclarés à l'administration fiscale pour 2013) - le solde de la recourante serait encore de 1'130 fr. (1'607 fr. – 477 fr.). Les éléments du dossier ne permettent pas a priori de retenir que la procédure en modification du jugement de divorce présenterait des difficultés particulières, de sorte que les honoraires d'avocat y relatifs et les frais de procédure devant cette juridiction devraient pouvoir être assumés par la recourante, au besoin en les réglant par mensualités.</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le 12 juin 2015 par A______ contre la décision rendue le 2 juin 2015 par le Vice-président du Tribunal civil dans la cause AC/1579/2015.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