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AC/1565/2016 vom 26. Mai 2016</w:t>
      </w:r>
    </w:p>
    <w:p>
      <w:r>
        <w:t>GE Cour de justice, 2016-05-26, FR</w:t>
      </w:r>
    </w:p>
    <w:p>
      <w:r>
        <w:rPr>
          <w:b/>
        </w:rPr>
        <w:t xml:space="preserve">Quelle: </w:t>
      </w:r>
      <w:r>
        <w:t>https://mcp.opencaselaw.ch/entscheid/ge_gerichte_AC_1565_2016</w:t>
      </w:r>
    </w:p>
    <w:p>
      <w:r>
        <w:t>FR: GE_GERICHTE AC/1565/2016 du 26 mai 2016</w:t>
      </w:r>
    </w:p>
    <w:p>
      <w:r>
        <w:t>IT: GE_GERICHTE AC/1565/2016 del 26 maggio 2016</w:t>
      </w:r>
    </w:p>
    <w:p>
      <w:pPr>
        <w:pStyle w:val="Heading2"/>
      </w:pPr>
      <w:r>
        <w:t>Regeste</w:t>
      </w:r>
    </w:p>
    <w:p>
      <w:r>
        <w:t>DÉNUEMENT; CRÉANCE FUTURE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les allégués de faits nouveaux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Le juge doit inviter la partie non assistée d'un mandataire professionnel dont la requête d'assistance judiciaire est lacunaire à compléter les informations fournies et les pièces produites afin de pouvoir vérifier si les conditions de l'art. 117 CPC sont valablement remplies (SJ 2016 I 131 et les références citées).</w:t>
      </w:r>
    </w:p>
    <w:p>
      <w:r>
        <w:rPr>
          <w:b/>
        </w:rPr>
        <w:t>E. 3.2</w:t>
      </w:r>
    </w:p>
    <w:p>
      <w:r>
        <w:t>En l'espèce, dans le formulaire de demande d'assistance juridique, la recourante a déclaré percevoir des revenus de la part de son mari, sans toutefois en préciser le montant. La procédure qu'elle souhaite introduire a pour but de pouvoir obtenir la moitié des prestations de retraite de son mari, soit 3'706 fr. 55 par mois. Ainsi, quand bien même le mari de la recourante lui fournit vraisemblablement une aide financière, il est arbitraire de retenir qu'elle bénéficie mensuellement de la somme précitée, ce d'autant plus qu'aucun élément n'indique que le courrier adressé à la caisse de pension en août 2015 ait été suivi d'effet. La décision querellée sera donc annulée et la cause renvoyée au Vice-président du Tribunal civil pour instruction complémentaire sur le montant que la recourante perçoit effectivement mensuellement de son mari, et nouvelle décision.</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26 mai 2016 par le Vice-président du Tribunal civil dans la cause AC/1565/2016. Au fond : Admet le recours et annule la décision entreprise. Cela fait : Renvoie la cause au Vice-président du Tribunal civil pour instruction complémentaire et nouvelle décision.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