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AC/1558/2018 vom 8. Juni 2018</w:t>
      </w:r>
    </w:p>
    <w:p>
      <w:r>
        <w:t>GE Cour de justice, 2018-06-08, FR</w:t>
      </w:r>
    </w:p>
    <w:p>
      <w:r>
        <w:rPr>
          <w:b/>
        </w:rPr>
        <w:t xml:space="preserve">Quelle: </w:t>
      </w:r>
      <w:r>
        <w:t>https://mcp.opencaselaw.ch/entscheid/ge_gerichte_AC_1558_2018</w:t>
      </w:r>
    </w:p>
    <w:p>
      <w:r>
        <w:t>FR: GE_GERICHTE AC/1558/2018 du 8 juin 2018</w:t>
      </w:r>
    </w:p>
    <w:p>
      <w:r>
        <w:t>IT: GE_GERICHTE AC/1558/2018 del 8 giugno 2018</w:t>
      </w:r>
    </w:p>
    <w:p>
      <w:pPr>
        <w:pStyle w:val="Heading2"/>
      </w:pPr>
      <w:r>
        <w:t>Regeste</w:t>
      </w:r>
    </w:p>
    <w:p>
      <w:r>
        <w:t>DÉNUEMENT ; CONCUBINAGE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doivent être prises en compte (ATF 119 Ia 11 consid. 3a), le devoir de l'État d'accorder l'assistance judiciaire à un plaideur impécunieux dans une cause non dénuée de chances de succès étant subsidiaire à l'obligation d'entretien qui résulte du droit de la famille (ATF 138 III 672 consid. 4.2.1 avec les références; arrêt du Tribunal fédéral 5A_556/2014 du 4 mars 2015 consid. 3.1).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(ATF 142 III 36 consid. 2.3). La jurisprudence considère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du Tribunal fédéral 8C_1008/2012 du 24 mai 2013 consid. 3.3.2; 5D_121/2009 du 30 novembre 2009 consid. 7.1).</w:t>
      </w:r>
    </w:p>
    <w:p>
      <w:r>
        <w:rPr>
          <w:b/>
        </w:rPr>
        <w:t>E. 3.2</w:t>
      </w:r>
    </w:p>
    <w:p>
      <w:r>
        <w:t>En l'espèce, l'unique grief du recourant porte sur la prise en compte des revenus de sa «compagne» dans le calcul opéré par l'Autorité de première instance. C'est toutefois à bon droit, à teneur des éléments portés à sa connaissance que le premier juge a considéré que le recourant faisait ménage commun avec sa compagne, puisque ce fait ressortait clairement du formulaire de requête d'assistance juridique du 16 mai 2018, du courrier d'avocat du 1er juin 2018 et des pièces y annexées. En tant qu'il soutient être en procédure de séparation, le recourant se prévaut d'un élément de fait non soumis au premier juge, qui est, partant, irrecevable. Les pièces nouvelles produites pour la première fois en seconde instance subissent le même sort. En tout état de cause, elles ne suffiraient pas à rendre vraisemblable la séparation du recourant au jour du dépôt de la requête - moment déterminant pour examiner sa situation économique -, puisqu'elles sont antérieures de plusieurs mois à la saisine du premier juge, lors de laquelle le recourant a expressément indiqué, comme retenu précédemment, vivre avec sa nouvelle compagne. C'est donc à juste titre, compte tenu de la communauté familiale formée par le recourant, sa compagne et leur enfant commun, que le premier juge a analysé la condition de l'indigence et tenant compte des revenus et des charges de l'ensemble du ménage. Infondé, le recours sera par conséquent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20 juin 2018 par A______ contre la décision rendue le</w:t>
      </w:r>
    </w:p>
    <w:p>
      <w:r>
        <w:rPr>
          <w:b/>
        </w:rPr>
        <w:t>E. 8</w:t>
      </w:r>
    </w:p>
    <w:p>
      <w:r>
        <w:t>juin 2018 par le Vice-président du Tribunal civil dans la cause AC/1558/2018.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