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AC/1552/2015 vom 21. November 2016</w:t>
      </w:r>
    </w:p>
    <w:p>
      <w:r>
        <w:t>GE Cour de justice, 2016-11-21, FR</w:t>
      </w:r>
    </w:p>
    <w:p>
      <w:r>
        <w:rPr>
          <w:b/>
        </w:rPr>
        <w:t xml:space="preserve">Quelle: </w:t>
      </w:r>
      <w:r>
        <w:t>https://mcp.opencaselaw.ch/entscheid/ge_gerichte_AC_1552_2015</w:t>
      </w:r>
    </w:p>
    <w:p>
      <w:r>
        <w:t>FR: GE_GERICHTE AC/1552/2015 du 21 novembre 2016</w:t>
      </w:r>
    </w:p>
    <w:p>
      <w:r>
        <w:t>IT: GE_GERICHTE AC/1552/2015 del 21 novembre 2016</w:t>
      </w:r>
    </w:p>
    <w:p>
      <w:pPr>
        <w:pStyle w:val="Heading2"/>
      </w:pPr>
      <w:r>
        <w:t>Regeste</w:t>
      </w:r>
    </w:p>
    <w:p>
      <w:r>
        <w:t>CHANCES DE SUCCÈS ; PROTECTION DE L'UNION CONJUGALE ; REVENU HYPOTHÉTIQUE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2.2</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(ATF 137 III 118 consid. 3.1; arrêt du Tribunal fédéral 5A_836/2015 du 8 avril 2016 consid. 4.1.1).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(ATF 128 III 4 consid. 4a; arrêt du Tribunal fédéral 5A_836/2015 précité). Le débiteur qui diminue volontairement son revenu alors qu'il sait ou doit savoir qu'il doit assumer des obligations d'entretien peut raisonnablement se voir imputer un revenu hypothétique, ce avec effet rétroactif au jour de la diminution (ATF 137 III 118 consid. 3.1; arrêt du Tribunal fédéral 5A_196/2013 du 25 septembre 2013 consid. 5.1).</w:t>
      </w:r>
    </w:p>
    <w:p>
      <w:r>
        <w:rPr>
          <w:b/>
        </w:rPr>
        <w:t>E. 2.3</w:t>
      </w:r>
    </w:p>
    <w:p>
      <w:r>
        <w:t>En l'espèce, au regard de la situation financière des parties à la procédure au fond et au vu des règles rappelées ci-dessus, il ne paraît a priori pas impossible que la Cour impute un revenu hypothétique au mari de la recourante et augmente en conséquence les contributions d'entretien dues par ce dernier. C'est donc à tort que le Vice-président du Tribunal a considéré que la cause de la recourante était dénuée de chances de succès. Par conséquent, le recours sera admis et la décision querellée sera annulée. La condition de l'indigence paraissant réalisée, notamment au vu de l'octroi de l'aide étatique à la recourante pour la procédure de première instance, l'extension d'assistance juridique sollicitée sera en conséquence octroyée, avec effet au 8 novembre 2016, date du dépôt de la demande. Me Sandy ZAECH avocate, sera par ailleurs nommée pour défendre les intérêts de la recourante.</w:t>
      </w:r>
    </w:p>
    <w:p>
      <w:r>
        <w:rPr>
          <w:b/>
        </w:rPr>
        <w:t>E. 3</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2013).![endif]&gt;![if&gt; * * * * * PAR CES MOTIFS, LE VICE-PRÉSIDENT DE LA COUR : A la forme : Déclare recevable le recours formé par A______ contre la décision rendue le 21 novembre 2016 par le Vice-président du Tribunal civil dans la cause AC/1552/2015. Au fond : Annule la décision entreprise. Cela fait et statuant à nouveau : Octroie l'assistance juridique à A______ pour la procédure d'appel contre le jugement JTPI/13123/2016 du 20 octobre 2016, avec effet au 8 novembre 2016. Commet à cette fin Me Sandy ZAECH, avocate. Déboute A______ de toutes autres conclusions. Dit qu'il n'est pas perçu de frais judiciaires pour le recours, ni alloué de dépens. Notifie une copie de la présente décision à A______ en l'Étude de M e Sandy ZAECH (art. 137 CPC).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