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AC/1545/2020 vom 22. Dezember 2021</w:t>
      </w:r>
    </w:p>
    <w:p>
      <w:r>
        <w:t>GE Cour de justice, 2021-12-22, FR</w:t>
      </w:r>
    </w:p>
    <w:p>
      <w:r>
        <w:rPr>
          <w:b/>
        </w:rPr>
        <w:t xml:space="preserve">Quelle: </w:t>
      </w:r>
      <w:r>
        <w:t>https://mcp.opencaselaw.ch/entscheid/ge_gerichte_AC_1545_2020</w:t>
      </w:r>
    </w:p>
    <w:p>
      <w:r>
        <w:t>FR: GE_GERICHTE AC/1545/2020 du 22 décembre 2021</w:t>
      </w:r>
    </w:p>
    <w:p>
      <w:r>
        <w:t>IT: GE_GERICHTE AC/1545/2020 del 22 dicembre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3.1 Le bail à loyer est un contrat par lequel le bailleur s'oblige à céder l'usage d'une chose au locataire, moyennant un loyer (art. 253 CO). A la fin du bail, le locataire doit restituer la chose dans l'état qui résulte d'un usage conforme au contrat (art. 267 al. 1 CO). Le prêt à usage est un contrat par lequel le prêteur s'oblige à céder gratuitement l'usage d'une chose que l'emprunteur s'engage à lui rendre après s'en être servi (art. 305 CO). L'emprunteur supporte les frais ordinaires d'entretien (art. 307 al. 1 1 ère phr. CO).</w:t>
      </w:r>
    </w:p>
    <w:p>
      <w:r>
        <w:rPr>
          <w:b/>
        </w:rPr>
        <w:t>E. 3.2</w:t>
      </w:r>
    </w:p>
    <w:p>
      <w:r>
        <w:t>En matière contractuelle, la prescription est de cinq ans lorsque la prétention concerne des loyers (cf. art. 128 CO). En matière délictuelle, le délai de prescription est de trois ans (délai relatif). Il en va de même en matière d'enrichissement illégitime, depuis le 1 er janvier 2020, étant rappelé qu'avant cette date le délai était annal. Selon l'art. 135 ch. 2 CO, la prescription est interrompue – lorsque le débiteur ne reconnaît pas la dette - lorsque le créancier fait valoir ses droits par des poursuites, par une requête de conciliation, par une action ou une exception devant un tribunal ou un tribunal arbitral ou par une intervention dans une faillite. Pour produire l'effet interruptif de prescription, l'acte introductif doit émaner du créancier et être dirigé contre le débiteur, en d'autres termes il doit être introduit par celui qui a la qualité pour agir contre celui qui a la qualité pour défendre (ATF 142 III 782 consid. 3.1.3.2; arrêt du Tribunal fédéral 4A_282/2021 du 29 novembre 2021 consid. 4.3). Une demande d'assistance judiciaire n'est pas un acte introductif d'action et n'interrompt pas la prescription. A la différence de la citation en conciliation, la demande d'assistance judiciaire gratuite n'a pas trait au fond de la cause; la procédure s'engage entre la partie instante et l'Etat et elle ne concerne qu'indirectement la substance même de la cause pour laquelle l'assistance et requise. On ne peut donc considérer la procédure exceptionnelle d'assistance judiciaire gratuite comme une phase préparatoire du procès (ATF 46 II 90 ; JdT 1920 I 365 consid. 2).</w:t>
      </w:r>
    </w:p>
    <w:p>
      <w:r>
        <w:rPr>
          <w:b/>
        </w:rPr>
        <w:t>E. 3.3</w:t>
      </w:r>
    </w:p>
    <w:p>
      <w:r>
        <w:t>Le locataire qui reste dans les locaux loués après la fin du bail contrevient à son obligation contractuelle de restitution. Sur la base d'un rapport de fait assimilable au bail, le bailleur peut alors prétendre à une indemnité pour occupation des locaux équivalant en principe au loyer convenu (arrêt du Tribunal fédéral 4A_276/2018 du 22 juillet 2019 consid. 3.1 et les références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(arrêt du Tribunal fédéral 4A_276/2018 du 22 juillet 2019 consid. 3.1 et les références citées). Le délai de prescription applicable ne sera pas le même : le délai sera de cinq ans pour le paiement de la redevance périodique fondée sur la relation contractuelle de fait (art. 128 ch. 1 CO), alors que le double délai de prescription de l'art. 67 CO – délai relatif d'un an (trois ans à partir du 1er janvier 2020) et délai absolu de dix ans – sera applicable à la créance en restitution de l'enrichissement illégitime (CARRON, L'indemnité pour occupation illicite : rapport contractuel de fait comme fondement, principes de fixation et application de l'art. 42 al. 2 CO (arrêt 4A_276/2018 ), Newsletter Bail.ch octobre 2019). Le code des obligations ne contient aucune règle particulière sur la liquidation du prêt à usage (art. 305 ss CO). La jurisprudence a précisé que ce sont les règles du bail qu'il y a lieu d'appliquer par analogie, singulièrement si l'emprunteur, après s'être servi de la chose prêtée, viole son obligation de la restituer. Le fondement de la créance contre l'occupant est un rapport contractuel de fait, assimilable au bail (arrêt du Tribunal fédéral 4A_66/2021 du 22 juillet 2021 consid. 5.2). Lorsque les parties n'ont jamais eu d'accord quant au montant du loyer puisque l'usage de l'appartement était concédé à titre gratuit, construire sur ce fondement un bail de fait n'est guère évident et il ne peut raisonnablement être question de libérer le propriétaire de son obligation de prouver le dommage (arrêt du Tribunal fédéral 4A_66/2021 du 22 juillet 2021 consid. 5.2). La base légale de la responsabilité peut aussi se fonder sur l'art. 97 CO, lequel suppose une violation du contrat, un dommage, un lien de causalité naturelle et adéquate entre les deux et une faute présumée (arrêt du Tribunal fédéral 4A_66/2021 du 22 juillet 2021 consid. 5.2).</w:t>
      </w:r>
    </w:p>
    <w:p>
      <w:r>
        <w:rPr>
          <w:b/>
        </w:rPr>
        <w:t>E. 3.4</w:t>
      </w:r>
    </w:p>
    <w:p>
      <w:r>
        <w:t>En l'espèce, que le rapport contractuel entre les locataires et la sous-occupante relève du contrat de bail ou du contrat de prêt à usage, il résulte de la jurisprudence sus-évoquée (arrêt du Tribunal fédéral 4A_66/2021 du 22 juillet 2021 consid. 5.2) que ce sont les règles sur le rapport contractuel de fait, assimilable au bail, qui sont applicables et non pas celles sur l'enrichissement illégitime, ce d'autant plus que la sous-occupante est vraisemblablement demeurée dans le studio contre la volonté des locataires (sous-bailleurs). Il en résulte que c'est a priori la prescription quinquennale de l'art. 128 ch. 1 CO qui est applicable aux prétentions des locataires, de sorte qu'elles ne seraient pas prescrites. Ainsi, la poursuite no 1______, du 23 mars 2016, a valablement interrompu la prescription desdites prétentions, de sorte que le délai pour introduire action a été reporté jusqu'en mars 2021, ce qui signifie que l'action en paiement du 7 décembre 2017 a été formée en temps utile. L'argumentation selon laquelle le premier juge serait parti de la prémisse erronée que les prétentions des locataires étaient prescrites en applications des art. 60 ou 67 CO n'apparaît ainsi pas dénuée de chances de succès, quand bien même le dépôt le 12 septembre 2017 de la requête d'assistance judiciaire n'a pas interrompu le délai de prescription. La vice-présidente du Tribunal est ainsi partie de la prémisse erronée que les prétentions des locataires étaient prescrites en applications des art. 60 ou 67 CO. Il sera, pour le surplus, précisé que le dépôt le 12 septembre 2017 de la requête d'assistance judiciaire n'a pas interrompu le délai de prescription. Le recours est fondé, de sorte que la décision du 22 décembre 2021 de la vice-présidente du Tribunal sera annulée et la cause retournée en première instance pour nouvelle décision dans le sens des considérants. Il appartiendra à l'Autorité de première instance d'examiner, d'une part, si l'engagement de frais par l'Etat, soit les frais judiciaires et la rémunération de l'avocat, apparaissent proportionnés par rapport à la valeur litigieuse en jeu pour le recourant, et, d'autre part, d'évaluer les perspectives de recouvrement de ladite valeur litigieuse en sollicitant la production, par le recourant, d'un extrait du registre des poursuites de sa partie adverse.</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