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AC/1486/2013 vom 10. Juli 2013</w:t>
      </w:r>
    </w:p>
    <w:p>
      <w:r>
        <w:t>GE Cour de justice, 2013-07-10, FR</w:t>
      </w:r>
    </w:p>
    <w:p>
      <w:r>
        <w:rPr>
          <w:b/>
        </w:rPr>
        <w:t xml:space="preserve">Quelle: </w:t>
      </w:r>
      <w:r>
        <w:t>https://mcp.opencaselaw.ch/entscheid/ge_gerichte_AC_1486_2013</w:t>
      </w:r>
    </w:p>
    <w:p>
      <w:r>
        <w:t>FR: GE_GERICHTE AC/1486/2013 du 10 juillet 2013</w:t>
      </w:r>
    </w:p>
    <w:p>
      <w:r>
        <w:t>IT: GE_GERICHTE AC/1486/2013 del 10 luglio 2013</w:t>
      </w:r>
    </w:p>
    <w:p>
      <w:pPr>
        <w:pStyle w:val="Heading2"/>
      </w:pPr>
      <w:r>
        <w:t>Regeste</w:t>
      </w:r>
    </w:p>
    <w:p>
      <w:r>
        <w:t>DÉNUEMENT REMBOURSEMENT DE FRAIS(ASSISTANCE); VERSEMENT ANTICIPÉ | CPC.326.1; CPC.117.A; Cst.29.3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w:t>
      </w:r>
    </w:p>
    <w:p>
      <w:r>
        <w:rPr>
          <w:b/>
        </w:rPr>
        <w:t>E. 3.2</w:t>
      </w:r>
    </w:p>
    <w:p>
      <w:r>
        <w:t>En l'espèce, au vu des faits portés à la connaissance du premier juge, la décision attaquée n'a ni consacré une violation du droit, ni constaté les faits de manière manifestement inexacte en retenant que le disponible mensuel du ménage de la recourante, d'un montant de 3'700 fr. environ, permettait à la recourante de s'acquitter d'une participation mensuelle de 800 fr. sans porter atteinte aux besoins fondamentaux de sa famille. Au demeurant, même en retenant les charges nouvellement alléguées par la recourante, la solution ne serait pas différente, dès lors que le disponible du ménage s'élèverait encore à 2'165 fr. (9'550 fr - 5'845 fr. - 740 fr. - 450 fr. - 350 fr.). Par conséquent, le recours, infondé, est rejeté.</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10 juillet 2013 par la Vice-présidente du Tribunal civil dans la cause AC/1486/2013. Au fond : Rejette le recours. Déboute A______ de toutes autres conclusions. Dit qu'il n'est pas perçu de frais judiciaires. Notifie une copie de la présente décision à A______ en l'Étude de M e Sandrine ROHMER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