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AC/1483/2021 vom 27. September 2022</w:t>
      </w:r>
    </w:p>
    <w:p>
      <w:r>
        <w:t>GE Cour de justice, 2022-09-27, FR</w:t>
      </w:r>
    </w:p>
    <w:p>
      <w:r>
        <w:rPr>
          <w:b/>
        </w:rPr>
        <w:t xml:space="preserve">Quelle: </w:t>
      </w:r>
      <w:r>
        <w:t>https://mcp.opencaselaw.ch/entscheid/ge_gerichte_AC_1483_2021</w:t>
      </w:r>
    </w:p>
    <w:p>
      <w:r>
        <w:t>FR: GE_GERICHTE AC/1483/2021 du 27 septembre 2022</w:t>
      </w:r>
    </w:p>
    <w:p>
      <w:r>
        <w:t>IT: GE_GERICHTE AC/1483/2021 del 27 settembre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En vertu de l'art. 273 al. 1 CO, la partie qui veut contester le congé doit saisir l'autorité de conciliation dans les 30 jours qui suivent la réception du congé. La résiliation du bail est une déclaration unilatérale de volonté de l'une des parties au contrat soumise à réception (ATF 143 III 15 consid. 4.1; 137 III 208 in SJ 2011 I 293). Le Tribunal fédéral admet qu'un bailleur puisse notifier simultanément un congé anticipé et un congé ordinaire, en précisant que le second n'est donné que pour le cas où le premier serait inefficace (ATF 137 III 389 consid. 8.4.2). En droit du bail, la communication du congé obéit à la théorie de la réception absolue (ATF 143 III 15 consid. 4.1; ATF 140 III 244 consid. 5). Selon cette théorie, le point de départ du délai correspond au moment où la manifestation de volonté est parvenue dans la sphère d'influence du destinataire ou de son représentant, de telle sorte qu'en organisant normalement ses affaires, celui-ci soit à même d'en prendre connaissance.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143 III 15 consid. 4.1 et la jurisprudence citée). La preuve de la réception du congé et de la date à laquelle elle est intervenue incombe à son expéditeur (art. 8 CC). En cas d'envoi sous pli recommandé, il doit à tout le moins prouver que son destinataire a reçu l'avis de retrait (arrêt du Tribunal fédéral 4A_350/2014 du 16 septembre 2014 consid. 2.2). La preuve de la remise par confirmation de type "Track and Trace" est admise par le Tribunal fédéral comme moyen de preuve suffisant (arrêt du Tribunal fédéral 4C_11/2007 du 21 mars 2007 consid. 3.3; Bohnet/Carron/Montini, Droit du bail à loyer, 2017, n. 12 ad art. 266 a CO). Selon la jurisprudence, l'avis de retrait est censé avoir été déposé dans la boîte aux lettres ou dans la case postale tant qu'il n'y a pas de circonstances propres à retenir un comportement incorrect des agents postaux. Il appartient au destinataire de renverser cette présomption en établissant l'absence de dépôt régulier de l'avis, une vraisemblance prépondérante étant suffisante (arrêt du Tribunal fédéral 4A_350/2014 du 16 septembre 2014 consid. 2.2). La possibilité théorique d'une faute de la poste, toujours existante, ne suffit pas à renverser la présomption, tant qu'il n'y a pas des indices concrets d'une faute (arrêts du Tribunal fédéral 4A_350/2014 précité consid. 2.2; 6B_940/2013 du 31 mars 2014 consid. 2.1.1).</w:t>
      </w:r>
    </w:p>
    <w:p>
      <w:r>
        <w:rPr>
          <w:b/>
        </w:rPr>
        <w:t>E. 2.2</w:t>
      </w:r>
    </w:p>
    <w:p>
      <w:r>
        <w:t>En l'espèce, le Tribunal des baux et loyers a retenu que la bailleresse, en produisant les Track &amp; Trace relatifs aux deux avis de résiliation du 13 avril 2021, avait démontré avoir notifié les deux congés, ordinaire et extraordinaire. Le recourant conteste cette appréciation, faisant valoir que la bailleresse n'avait pas prouvé à satisfaction de droit que la résiliation ordinaire lui avait été communiquée. Cela étant, il résulte du dossier au fond que deux plis recommandés ont bien été expédiés au recourant, celui-ci ayant été "avisé pour retrait" à deux reprises le 16 avril 2021. La seule circonstance que les termes "recommandé/cae" ne figurent pas sur l'avis de résiliation ordinaire qui a été produit, au contraire de ce qui est indiqué sur le suivi des envois, ne suffit pas pour mettre en doute l'envoi effectif de l'avis de résiliation en cause. D'ailleurs, cette différence existe aussi entre les adresses mentionnées sur le suivi des envois et l'avis de résiliation extraordinaire, que le recourant reconnait avoir reçu. Les plis recommandés n'ayant pas été retirés dans le délai de garde, ils ont été retournés à l'expéditeur. La bailleresse a ensuite renvoyé les avis de résiliation par plis simples séparés du 29 avril 2021. Le recourant semble d'ailleurs l'avoir admis lorsqu'il a été entendu par le juge, puisqu'il a déclaré qu'il avait peut-être reçu deux courriers et qu'il avait pensé qu'il s'agissait de la même chose. Le recourant n'ayant pas contesté le congé ordinaire qui lui a été notifié le 16 avril 2021 pour le 31 octobre 2021, le bail a pris fin à cette date-là et l'intéressé ne dispose d'aucun titre juridique lui permettant de demeurer dans les locaux qu'il occupe. C'est dès lors à juste titre que l'autorité de première instance a refusé d'octroyer l'assistance juridique au recourant au motif que l'appel formé contre le jugement JTBL/585/2022 du 2 août 2022 semblait dénué de chances de succès.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Préalablement : Ordonne l'apport de la procédure C/2______/2021. A la forme : Déclare recevable le recours formé par A______ contre la décision rendue le 27 septembre 2022 par la vice-présidente du Tribunal de première instance dans la cause AC/1483/2021.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