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AC/1459/2013 vom 28. März 2014</w:t>
      </w:r>
    </w:p>
    <w:p>
      <w:r>
        <w:t>GE Cour de justice, 2014-03-28, FR</w:t>
      </w:r>
    </w:p>
    <w:p>
      <w:r>
        <w:rPr>
          <w:b/>
        </w:rPr>
        <w:t xml:space="preserve">Quelle: </w:t>
      </w:r>
      <w:r>
        <w:t>https://mcp.opencaselaw.ch/entscheid/ge_gerichte_AC_1459_2013</w:t>
      </w:r>
    </w:p>
    <w:p>
      <w:r>
        <w:t>FR: GE_GERICHTE AC/1459/2013 du 28 mars 2014</w:t>
      </w:r>
    </w:p>
    <w:p>
      <w:r>
        <w:t>IT: GE_GERICHTE AC/1459/2013 del 28 marzo 2014</w:t>
      </w:r>
    </w:p>
    <w:p>
      <w:pPr>
        <w:pStyle w:val="Heading2"/>
      </w:pPr>
      <w:r>
        <w:t>Regeste</w:t>
      </w:r>
    </w:p>
    <w:p>
      <w:r>
        <w:t>ASSISTANCE JUDICIAIRE; CHANCES DE SUCCÈS; PRESCRIPTION; DÉCISION DE RENVOI | CPC.117.B; CO.60.2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En l'espèce, la question de la recevabilité des nouvelles pièces produites par le recourant – lesquelles concernent la procédure au fond, dont les chances de succès doivent être examinées – souffrira de rester indécise au vu de l'issue du recours.</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Toutes les actions se prescrivent par dix ans, lorsque le droit civil fédéral n'en dispose pas autrement (art. 127 CO). Selon l'art. 60 al. 1 CO, le délai de prescription applicable aux actions en responsabilité pour acte illicite au sens des art. 41 ss CO est d'un an à compter du jour où la partie lésée a eu connaissance du dommage ainsi que de la personne qui en est l'auteur, et dans tous les cas, par dix ans dès le jour où le fait dommageable s'est produit. Tant le délai annal que décennal peuvent être interrompus (ATF 123 III 213 , in JT 2000 I 208 ). La prescription est interrompue notamment lorsque le créancier fait valoir ses droits par des poursuites (art. 135 ch. 2 CO). Dans ce cas, la prescription recommence à courir de zéro à compter de chaque acte de poursuite (art. 137 al. 1 et 138 al. 2 CO). Si les dommages-intérêts dérivent d'un acte punissable soumis par les lois pénales à une prescription de plus longue durée, cette prescription s'applique à l'action civile (art. 60 al. 2 CO). Dans cette hypothèse, la prescription demeure régie par le droit civil, le droit pénal n'intervenant que pour substituer au délai initialement prévu le délai plus long découlant du droit pénal (ATF 137 III 481 ). Cette règle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(arrêt du Tribunal fédéral 4A_210/2010 du 1 er octobre 2010 consid. 6.1).</w:t>
      </w:r>
    </w:p>
    <w:p>
      <w:r>
        <w:rPr>
          <w:b/>
        </w:rPr>
        <w:t>E. 3.3</w:t>
      </w:r>
    </w:p>
    <w:p>
      <w:r>
        <w:t>En l'espèce, compte tenu des faits litigieux, il n'est pas invraisemblable que le recourant puisse valablement invoquer l'application de la prescription pénale selon l'art. 60 al. 2 CO dans le cadre de l'action qu'il envisage d'introduire. On ne saurait dès lors retenir, sur la base d'un examen sommaire, que ladite action serait prescrite et que l'action envisagée serait d'emblée dépourvue de chances de succès. Par conséquent, la décision entreprise sera annulée, et la cause renvoyée au premier juge pour nouvelle décision au sens des considérants, l'assistance juridique devant être accordée pour la première instance, le nombre d'heures d'avocat couvertes devant cependant être limité et l'éventuelle participation mensuelle du recourant aux frais engagés devant encore être fixée.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 28 mars 2014 par le Vice-président du Tribunal civil dans la cause AC/1459/2013.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l'Étude de M e Christian van GESSEL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