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AC/1415/2008 vom 5. Juli 2019</w:t>
      </w:r>
    </w:p>
    <w:p>
      <w:r>
        <w:t>GE Cour de justice, 2019-07-05, FR</w:t>
      </w:r>
    </w:p>
    <w:p>
      <w:r>
        <w:rPr>
          <w:b/>
        </w:rPr>
        <w:t xml:space="preserve">Quelle: </w:t>
      </w:r>
      <w:r>
        <w:t>https://mcp.opencaselaw.ch/entscheid/ge_gerichte_AC_1415_2008</w:t>
      </w:r>
    </w:p>
    <w:p>
      <w:r>
        <w:t>FR: GE_GERICHTE AC/1415/2008 du 5 juillet 2019</w:t>
      </w:r>
    </w:p>
    <w:p>
      <w:r>
        <w:t>IT: GE_GERICHTE AC/1415/2008 del 5 luglio 2019</w:t>
      </w:r>
    </w:p>
    <w:p>
      <w:pPr>
        <w:pStyle w:val="Heading2"/>
      </w:pPr>
      <w:r>
        <w:t>Erwägungen</w:t>
      </w:r>
    </w:p>
    <w:p>
      <w:r>
        <w:rPr>
          <w:b/>
        </w:rPr>
        <w:t>E. 4</w:t>
      </w:r>
    </w:p>
    <w:p>
      <w:r>
        <w:t>Le Vice-président du Tribunal a en outre considéré que la recourante avait perçu la somme de 35'600 fr. au titre du remboursement des frais judiciaires qu'elle avait avancés, de sorte qu'elle pouvait rembourser l'Assistance juridique au moyen de celle-ci. A cet égard, la recourante a affirmé que c'était B______ SA, l'assureur en protection juridique, qui avait effectué l'avance de frais et qu'elle avait dû l'en rembourser au terme du procès. Afin d'éclaircir ce point de fait, la cause sera retournée au Vice-président du Tribunal pour complément d'instruction et nouvelle décision.</w:t>
      </w:r>
    </w:p>
    <w:p>
      <w:r>
        <w:rPr>
          <w:b/>
        </w:rPr>
        <w:t>E. 5</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5 juillet 2019 par le Président du Tribunal civil dans la cause AC/1415/2008. Au fond : Annule la décision entreprise. Cela fait : Renvoie la cause au Vice-président du Tribunal civil pour instruction complémentaire et nouvelle décision. Déboute A______ de toutes autres conclusions. Dit qu'il n'est pas perçu de frais judiciaires pour le recours, ni alloué de dépens. Notifie une copie de la présente décision à A______ en l'Étude de M e Marlyse CORDONIER (art. 137 CPC).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