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AC/1384/2020 vom 16. Juni 2020</w:t>
      </w:r>
    </w:p>
    <w:p>
      <w:r>
        <w:t>GE Cour de justice, 2020-06-16, FR</w:t>
      </w:r>
    </w:p>
    <w:p>
      <w:r>
        <w:rPr>
          <w:b/>
        </w:rPr>
        <w:t xml:space="preserve">Quelle: </w:t>
      </w:r>
      <w:r>
        <w:t>https://mcp.opencaselaw.ch/entscheid/ge_gerichte_AC_1384_2020</w:t>
      </w:r>
    </w:p>
    <w:p>
      <w:r>
        <w:t>FR: GE_GERICHTE AC/1384/2020 du 16 juin 2020</w:t>
      </w:r>
    </w:p>
    <w:p>
      <w:r>
        <w:t>IT: GE_GERICHTE AC/1384/2020 del 16 giugno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Le créancier dont la poursuite se fonde sur une reconnaissance de dette constatée par acte authentique ou sous seing privé peut requérir la mainlevée provisoire (art. 82 al. 1 LP). La procédure de mainlevée provisoire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 140 consid. 4.1.1).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136 III 627 consid. 2 et 3.3; 132 III 480 consid. 4.1 et les références citées).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w:t>
      </w:r>
    </w:p>
    <w:p>
      <w:r>
        <w:rPr>
          <w:b/>
        </w:rPr>
        <w:t>E. 3.2</w:t>
      </w:r>
    </w:p>
    <w:p>
      <w:r>
        <w:t>En l'espèce, c'est à juste titre que le premier juge a considéré que la procédure envisagée par la recourante était dénuée de chances de succès dès lors que l'ensemble des pièces produites ne permettraient, à première vue, pas au Tribunal de première instance de prononcer la mainlevée provisoire du commandement de payer auquel le B______ a fait opposition. Aucune pièce ou ensemble de pièce produit par la recourante ne constitue une reconnaissance de dette du B______, soit un document où ce dernier reconnait devoir de l'argent à la recourante, et seul un examen approfondi de la situation - qui n'est pas possible en procédure de mainlevée provisoire - permettrait d'établir si le B______ est redevable de quelque somme que ce soit envers la recourante. Par conséquent, le recours est infondé.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30 juin 2020 par A______ contre la décision rendue le 16 juin 2020 par la Vice-présidente du Tribunal de première instance dans la cause AC/1384/2020.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