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AC/1374/2022 vom 15. Juni 2022</w:t>
      </w:r>
    </w:p>
    <w:p>
      <w:r>
        <w:t>GE Cour de justice, 2022-06-15, FR</w:t>
      </w:r>
    </w:p>
    <w:p>
      <w:r>
        <w:rPr>
          <w:b/>
        </w:rPr>
        <w:t xml:space="preserve">Quelle: </w:t>
      </w:r>
      <w:r>
        <w:t>https://mcp.opencaselaw.ch/entscheid/ge_gerichte_AC_1374_2022</w:t>
      </w:r>
    </w:p>
    <w:p>
      <w:r>
        <w:t>FR: GE_GERICHTE AC/1374/2022 du 15 juin 2022</w:t>
      </w:r>
    </w:p>
    <w:p>
      <w:r>
        <w:t>IT: GE_GERICHTE AC/1374/2022 del 15 giugno 2022</w:t>
      </w:r>
    </w:p>
    <w:p>
      <w:pPr>
        <w:pStyle w:val="Heading2"/>
      </w:pPr>
      <w:r>
        <w:t>Regeste</w:t>
      </w:r>
    </w:p>
    <w:p>
      <w:r>
        <w:t>RAJ.17</w:t>
      </w:r>
    </w:p>
    <w:p>
      <w:pPr>
        <w:pStyle w:val="Heading2"/>
      </w:pPr>
      <w:r>
        <w:t>Erwägungen</w:t>
      </w:r>
    </w:p>
    <w:p>
      <w:r>
        <w:rPr>
          <w:b/>
        </w:rPr>
        <w:t>E. 1</w:t>
      </w:r>
    </w:p>
    <w:p>
      <w:r>
        <w:t>1.1 En tant qu'elle refuse un changement d'avocat, la décision entreprise, rendue en procédure sommaire (art. 119 al. 3 CPC), est sujette à recours auprès de la Présidente de la Cour de justice (art. 21 al. 3 LaCC). Le recours, écrit et motivé, est introduit auprès de l'instance de recours (art. 321 al. 1 CPC) dans un délai de dix jours (art. 17 al. 2 RAJ).</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 dont le recourant n'a pas fait état en première instance, ses courriers des 24 juin et 1 er juillet 2022, ainsi que les pièces nouvellement produites à l'appui du recours et des lettres précitées ne seront pas pris en considération. La présente cause sera ainsi jugée à l'aune du dossier soumis à l'Autorité de première instance.</w:t>
      </w:r>
    </w:p>
    <w:p>
      <w:r>
        <w:rPr>
          <w:b/>
        </w:rPr>
        <w:t>E. 3</w:t>
      </w:r>
    </w:p>
    <w:p>
      <w:r>
        <w:t>Le recourant fait valoir qu'à la suite de la décision de refus de la Vice-présidente du 15 juin 2022, il se trouve sans avocat et ne dispose pas des moyens financiers pour rémunérer un conseil juridique. Il reproche à son avocate de lui avoir consacré dix minutes, en précisant n'avoir pas le temps et qu'elle agirait et le consulterait si nécessaire. Elle ne l'avait pas informé ni ne lui avait expliqué les actes entrepris. Il avait été paniqué lorsqu'elle lui avait déclaré qu'il n'avait aucune chance de succès [sur mesures provisionnelles] sans lui en avoir donné les raisons. Il s'était précipité à son Etude pour obtenir la restitution de son dossier car il avait eu le sentiment qu'elle ne ferait rien pour l'aider. En raison des enjeux de la procédure de divorce avec mesures provisionnelles et de ses graves problèmes de santé, il soutient avoir besoin de l'aide d'un professionnel.</w:t>
      </w:r>
    </w:p>
    <w:p>
      <w:r>
        <w:rPr>
          <w:b/>
        </w:rPr>
        <w:t>E. 3.1</w:t>
      </w:r>
    </w:p>
    <w:p>
      <w:r>
        <w:t>3.1.1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w:t>
      </w:r>
    </w:p>
    <w:p>
      <w:r>
        <w:rPr>
          <w:b/>
        </w:rPr>
        <w:t>E. 3.1.2</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 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Sa démarche doit toutefois être axée sur les intérêts du justiciable dans les limites de la loi et des règles déontologiques (arrêt du Tribunal fédéral 1B_16/2018 du 26 juin 2018 consid. 2.2).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 DAAJ/3/2022 du 13 janvier 2022 consid. 3.1, DAAJ/130/2017 du 8 décembre 2017 consid. 3.4).</w:t>
      </w:r>
    </w:p>
    <w:p>
      <w:r>
        <w:rPr>
          <w:b/>
        </w:rPr>
        <w:t>E. 3.2</w:t>
      </w:r>
    </w:p>
    <w:p>
      <w:r>
        <w:t>En l'espèce, il convient d'examiner si un changement d'avocat se justifie au regard de l'art. 17 al. 1 let c) RAJ, soit une rupture du lien de confiance pour des raisons concrètes et objectives entre le recourant et son conseil nommé d'office, étant rappelé que le recourant, dans le cadre de l'assistance judiciaire, ne dispose pas du libre choix de son mandataire car celui-ci n'exécute pas un mandat de droit privé, mais accomplit une tâche de droit public. Tout d'abord, Me C______ a été désignée en qualité d'avocat de choix du recourant pour défendre à la cause en divorce (C/1______/2022) et, le jour même de sa nomination, le 13 mai 2022, elle recevait déjà le recourant en entretien, avec sa stagiaire, ce qui est particulièrement prompt et diligent de la part de cette avocate. Certes, il est compréhensible que le recourant ait été déstabilisé par l'accueil de son avocate, contrariée d'avoir été nommé d'office sans concertation préalable, ayant déclaré disposer de peu de temps et annoncé qu'elle n'entreprendrait aucune démarche auprès du Tribunal avant la perception d'une provision de 3'000 fr. ou d'une décision de l'Assistance juridique. Cela étant, le recourant pouvait comprendre qu'elle n'entreprendrait pas de démarches judiciaires sans avoir la garantie d'être rémunérée pour son activité. Ensuite, après avoir reçu le 17 mai 2022 la décision d'octroi de l'assistance judiciaire, Me C______ a, le jour même, adressé un courrier au Tribunal pour l'aviser de sa nomination pour le recourant et solliciter les reports de délai pour répondre sur mesures provisionnelles et d'audience. Elle n'avait pas à soumettre la teneur ce de courrier et de ses annexes au recourant pour approbation, dès lors qu'il s'agissait d'une simple information communiquée au juge du divorce. Elle ainsi intervenue immédiatement, avec diligence et succès en obtenant le report du délai pour répondre au 16 juin 2022, et l'annulation de l'audience du 20 juin 2022. Quoiqu'en dise le recourant, il a reçu copie du courrier du 17 mai 2022 puisqu'il l'a adressé au Tribunal avec sa lettre du 19 mai 2022 pour solliciter à son tour les mêmes reports et joindre des pièces supplémentaires, sans expliquer en quoi celles-ci étaient indispensables à sa cause en sus des justificatifs déjà produits par son conseil. Or, il incombait au recourant de faire confiance à Me C______, qui, en qualité d'avocate, était qualifiée pour déterminer les démarches à entreprendre auprès du Tribunal pour la défense des intérêts de celui-là. Au lieu de cela, ce dernier a, de manière superflue, réitéré la démarche de son conseil le 19 mai 2022, alors que ses intérêts avaient déjà été efficacement défendus par le courrier de son conseil du 17 mai 2022. Enfin, Me C______ a rédigé un projet de réponse sur mesures provisionnelles avant l'échéance du délai initial pour répondre, qu'elle a soumis au recourant, démontrant ainsi avoir à nouveau promptement pris en charge la cause du recourant, quand bien même ce projet, pour des raisons indéterminées, ne lui a pas convenu. Par ailleurs, il était de son devoir d'informer le recourant sur ses chances de succès quant aux mesures provisionnelles requises à son encontre. Il résulte de ce qui précède qu'aucun manquement précis, objectif, daté et documenté ne peut être reproché à Me C______. Le manque d'écoute dont le recourant s'est plaint à l'endroit de son avocate et de l'avocate-stagiaire est prématuré, dès lors qu'il n'a eu qu'un seul entretien avec celles-ci, le 13 mai 2022, et s'est ensuite rendu sans rendez-vous à l'Etude de son avocate, en l'absence de celle-ci, de sorte qu'il n'est pas critiquable que l'avocate-stagiaire se soit limitée à prendre possession des pièces du recourant sans écouter ses explications. Il apparaît ainsi que Me C______ a été active et a déployé une activité conforme aux intérêts du recourant, en l'ayant reçu au sein de son Etude le 13 mai 2022, sollicité et obtenu un nouveau délai pour répondre au 16 juin 2022, ainsi que le report de l'audience du 20 juin 2022 et rédigé un projet de réponse sur mesures provisionnelles. Ce nonobstant, le recourant a pris la décision unilatérale de changer de mandataire, sans en informer le greffe de l'Assistance juridique ni obtenir l'accord préalable de la Vice-présidente, mettant l'Autorité de première instance devant le fait accompli. Il importe peu à cet égard que Me C______ ait indiqué, le 9 juin 2022, " une absence de tout lien de confiance " avec le recourant et une " incompatibilité irréconciliable [de] vision [s] de la cause " dès lors que c'est l'empressement, l'insistance et l'impatience du recourant, qui, par ses exigences exagérées et infondées, a précipité le terme du mandat en exigeant la restitution de son dossier auprès de son conseil. Il a ainsi empêché l'avocate nommée d'office de poursuivre efficacement son mandat, de sorte que la Vice-présidente, en application de la jurisprudence de la Cour de céans, a refusé avec raison le changement d'avocat et indiqué au recourant qu'il lui incombait de rémunérer son nouveau conseil de choix au moyen de ses propres deniers. Partant, le recours, infondé, sera rejeté.</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