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AC/1350/2013 vom 12. Juni 2013</w:t>
      </w:r>
    </w:p>
    <w:p>
      <w:r>
        <w:t>GE Cour de justice, 2013-06-12, FR</w:t>
      </w:r>
    </w:p>
    <w:p>
      <w:r>
        <w:rPr>
          <w:b/>
        </w:rPr>
        <w:t xml:space="preserve">Quelle: </w:t>
      </w:r>
      <w:r>
        <w:t>https://mcp.opencaselaw.ch/entscheid/ge_gerichte_AC_1350_2013</w:t>
      </w:r>
    </w:p>
    <w:p>
      <w:r>
        <w:t>FR: GE_GERICHTE AC/1350/2013 du 12 juin 2013</w:t>
      </w:r>
    </w:p>
    <w:p>
      <w:r>
        <w:t>IT: GE_GERICHTE AC/1350/2013 del 12 giugno 2013</w:t>
      </w:r>
    </w:p>
    <w:p>
      <w:pPr>
        <w:pStyle w:val="Heading2"/>
      </w:pPr>
      <w:r>
        <w:t>Regeste</w:t>
      </w:r>
    </w:p>
    <w:p>
      <w:r>
        <w:t>FORTUNE IMMOBILIÈRE; SUBSIDIARITÉ; CONJOINT; DEVOIR D'ASSISTANCE(FAMILLE) | CPC.119.2; RAJ.7.2; CC.159; CC.163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 119 Ia 11 consid. 3a). Le paiement des frais de justice et des honoraires d'avocat nécessaires à la sauvegarde des droits de l'un des conjoints constitue une obligation solidaire des époux, découlant de leur devoir réciproque d'assistance et d'entretien (art. 159 et 163 CC ; arrêt du Tribunal fédéral 4A_423/2012 du 10 septembre 2012, consid. 2.2; Deschenaux/ Steinauer/Baddeley, Les effets du mariage, 2009, p. 77-79 n. 47-50 ; Stettler/Germani, Droit civil III, Effets généraux du mariage, 1999, p. 19 n. 27). Ce devoir est indépendant du régime matrimonial choisi par les époux (arrêt du Tribunal fédéral 4A_423/2012 précité, consid. 2.2). La fortune de l'un des époux doit donc, si nécessaire, être mise à contribution dans la mesure où l'on peut exiger qu'il aliène ou mette en gage ses biens, mobiliers ou immobiliers, pour financer la défense juridique des intérêts de son conjoint (sur la prise en compte de la fortune en matière d'assistance juridique, ATF 124 I 1 consid. 2d, 120 Ia 179 consid. 3a ; 119 Ia 11 consid. 3a et consid. 5 in fine; arrêt du Tribunal fédéral 9C_147/2011 du 20 juin 2011).</w:t>
      </w:r>
    </w:p>
    <w:p>
      <w:r>
        <w:rPr>
          <w:b/>
        </w:rPr>
        <w:t>E. 3.2</w:t>
      </w:r>
    </w:p>
    <w:p>
      <w:r>
        <w:t>En vertu de l'art. 56 CPC, le tribunal interpelle les parties lorsque leurs actes ou déclarations sont peu clairs, contradictoires, imprécis ou manifestement incomplets et leur donne l’occasion de les clarifier et de les compléter. Ce devoir vaut avant tout pour les personnes non assistées et juridiquement inexpérimentées (Haldy, Code de procédure civile commenté, 2011, n. 3 ad art. 56 CPC).</w:t>
      </w:r>
    </w:p>
    <w:p>
      <w:r>
        <w:rPr>
          <w:b/>
        </w:rPr>
        <w:t>E. 3.3</w:t>
      </w:r>
    </w:p>
    <w:p>
      <w:r>
        <w:t>En l'espèce, la question des chances de succès de l'action envisagée par le recourant peut rester indécise, dès lors que ce dernier ne remplit pas la condition de l'indigence. En effet, la fortune de l'épouse, propriétaire de deux biens immobiliers, doit être prise en compte pour évaluer les ressources du recourant, ce que ce dernier ne conteste d'ailleurs pas. Dans la mesure où le recourant ne démontre pas de manière satisfaisante que son épouse ne peut pas aliéner sa maison en France, d'une valeur fiscale de 306'550 fr., ou obtenir un prêt sur la base de cet élément de fortune, c'est à juste titre que le bénéfice de l'assistance juridique lui a été refusé. En effet, compte tenu de la valeur du bien immobilier précité, franc d'hypothèque, l'épouse du recourant serait à même de financer les frais d'introduction de l'action envisagée, qui seront fixés entre 20'000 fr. et 100'000 fr., compte tenu de la valeur litigieuse (cf. art. 17 RTFMC). A cela s'ajoute l'appartement qu'elle possède en Suisse, d'une valeur fiscale de 845'000 fr. et qui peut également être mis à contribution. Pour le surplus, les griefs du recourant au sujet du devoir d'interpellation du juge sont dénués de pertinence. D'une part, il incombait au recourant de produire tous les renseignements et documents permettant d'examiner les mérites de sa cause, ce d'autant plus qu'il est assisté d'un avocat. N'ayant produit qu'un seul document à l'appui de sa requête d'assistance juridique, déposée pour la seconde fois pour l'exonération des frais de justice concernant la même affaire, le recourant est malvenu de se plaindre qu'aucun document ou renseignement supplémentaire ne lui a été demandé. D'autre part, les interrogations soulevées par le premier juge au sujet de la fortune de 670'000 fr. dont disposait le couple en 2011 ne constituent qu'un indice complémentaire permettant de démontrer l'absence d'indigence du recourant, étant précisé que la fortune immobilière de l'épouse constitue à elle seule un élément suffisant pour refuser d'octroyer l'assistance juridique au recourant. Partant, le recours, infondé, sera rejeté.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12 juin 2013 par la Vice-présidente du Tribunal civil dans la cause AC/1350/2013. Au fond : Le rejette. Déboute A______ de toutes autres conclusions. Dit qu'il n'est pas perçu de frais judiciaires. Notifie une copie de la présente décision à A______ en l'Étude de M e Mauro POGGIA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