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AC/1347/2010 vom 11. Februar 2015</w:t>
      </w:r>
    </w:p>
    <w:p>
      <w:r>
        <w:t>GE Cour de justice, 2015-02-11, FR</w:t>
      </w:r>
    </w:p>
    <w:p>
      <w:r>
        <w:rPr>
          <w:b/>
        </w:rPr>
        <w:t xml:space="preserve">Quelle: </w:t>
      </w:r>
      <w:r>
        <w:t>https://mcp.opencaselaw.ch/entscheid/ge_gerichte_AC_1347_2010</w:t>
      </w:r>
    </w:p>
    <w:p>
      <w:r>
        <w:t>FR: GE_GERICHTE AC/1347/2010 du 11 février 2015</w:t>
      </w:r>
    </w:p>
    <w:p>
      <w:r>
        <w:t>IT: GE_GERICHTE AC/1347/2010 del 11 febbraio 2015</w:t>
      </w:r>
    </w:p>
    <w:p>
      <w:pPr>
        <w:pStyle w:val="Heading2"/>
      </w:pPr>
      <w:r>
        <w:t>Regeste</w:t>
      </w:r>
    </w:p>
    <w:p>
      <w:r>
        <w:t>ASSISTANCE JUDICIAIRE; RÉVOCATION(EN GÉNÉRAL); DROIT TRANSITOIRE</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![endif]&gt;![if&gt; 1.2.1. Selon l'art. 321 al. 1 CPC, le recours, écrit et motivé, est introduit auprès de l'instance de recours dans les 10 jours à compter de la notification de la décision motivée (art. 321 al. 2 CPC et 11 RAJ). Bien que l'art. 321 al. 1 CPC exige uniquement que le recours soit écrit et motivé, celui-ci doit également contenir des conclusions à l'instar de l'acte introductif d'instance (art. 221 al. 2 let. b CPC). Celles-ci sont rédigées d'une manière suffisamment précise pour pouvoir être reprises telles quelles dans le dispositif de la décision à rendre. Elles doivent indiquer sur quels points la partie recourante demande la modification ou l'annulation de la décision attaquée (ATF 137 III 617 consid. 4-6; arrêt du Tribunal fédéral 5A_417/2013 du 25 février 2014 consid. 3.1, concernant l'appel). Les conclusions doivent être interprétées sur la base du principe de la bonne foi, en référence avec la motivation y relative, sans tenir compte d'une formulation manifestement erronée (arrêts précités ainsi que arrêts du Tribunal fédéral 4A_622/2013 du 26 mai 2014 consid. 6.3 et 1C_751/2013 du 4 avril 2014 consid. 1.1). 1.2.2. En l'espèce, le recours, écrit et signé, a été déposé dans le délai légal. Il comporte une motivation certes succincte, mais suffisante dans la mesure où l'on comprend les griefs en fait et en droit soulevés par le recourant contre le jugement entrepris, étant rappelé que, en procédure simplifiée, une motivation sommaire est admise. Par ailleurs, si le recourant n'a pas pris de conclusion formelle, on comprend clairement qu'il sollicite l'annulation de la décision querellée. Au vu de ce qui précède,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Aux termes de l'art. 404 al. 1 CPC, les procédures en cours à l'entrée en vigueur du CPC sont régies par l'ancien droit de procédure jusqu'à la clôture de l'instance. Cette règle vaut pour toutes les procédures en cours, quelle que soit leur nature, et concerne également les procédures d'assistance judiciaire (Tappy, Code de procédure civile commenté, 2011, n. 8/9 ad art. 404). L'Autorité de seconde instance examine l'application de l'ancien droit de procédure cantonale par le premier juge (art. 404 al. 1 CPC) au regard de ce dernier droit (Tappy, Le droit transitoire applicable lors de l'introduction de la nouvelle procédure civile unifiée, in JdT 2010 III 11 p. 39 ; Frei/Willisegger, Commentaire bâlois du CPC, 2010, n. 15 ad art. 405).</w:t>
      </w:r>
    </w:p>
    <w:p>
      <w:r>
        <w:rPr>
          <w:b/>
        </w:rPr>
        <w:t>E. 2.2</w:t>
      </w:r>
    </w:p>
    <w:p>
      <w:r>
        <w:t>En l'espèce, l'assistance judiciaire octroyée s'inscrivant dans une procédure civile soumise à l'ancien droit, c'est à juste titre que sa révocation a été examinée par le premier juge en application de cette même législation. Le bien-fondé de la décision entreprise sera donc examiné au regard de cette dernière (aRAJ).</w:t>
      </w:r>
    </w:p>
    <w:p>
      <w:r>
        <w:rPr>
          <w:b/>
        </w:rPr>
        <w:t>E. 3</w:t>
      </w:r>
    </w:p>
    <w:p>
      <w:r>
        <w:t>Le recourant reproche au Tribunal d'avoir retenu qu'il réalisait des revenus mensuels de 4'600 fr. alors qu'ils ne sont que de 1'600 fr. par mois. 3.1.1. Toute personne qui ne dispose pas de ressources suffisantes a droit à l'assistance judiciaire à moins que sa cause paraisse dépourvue de toute chance de succès (art. 29 al. 3 Cst. et art. 117 CPC). 3.1.2. L'ouverture d'une procédure de révocation se prescrit par cinq ans dès la clôture du dossier d'assistance juridique, délai durant lequel une enquête peut être ordonnée sur la situation financière du bénéficiaire (art. 14 al. 4 aRAJ). Le bénéficiaire est entendu, l'avocat nommé pouvant également l'être (art. 14 al. 2 aRAJ). La révocation est ordonnée, totalement ou partiellement, avec ou sans effet rétroactif, en cours ou à l'issue de la procédure concernée, notamment à l'égard d'un bénéficiaire dont la situation s'améliore et lui permet de prendre en charge tout ou partie de ses frais de justice ou honoraires d'avocat, par exemple à la suite de l'issue favorable de la procédure ou des démarches entreprises (art. 13 let. b aRAJ). La manière dont la situation financière du recourant s'est améliorée importe peu. Il suffit en effet que le bénéficiaire soit revenu à meilleure fortune pour que les frais assumés par l'État puissent lui être réclamés, c'est-à-dire qu'il ne se trouve plus dans l'indigence (Corboz, Le droit constitutionnel à l'assistance judiciaire, in SJ 2003 II p. 74).</w:t>
      </w:r>
    </w:p>
    <w:p>
      <w:r>
        <w:rPr>
          <w:b/>
        </w:rPr>
        <w:t>E. 3.2</w:t>
      </w:r>
    </w:p>
    <w:p>
      <w:r>
        <w:t>En l'espèce, les réquisits formels ont été respectés, dès lors que le recourant a eu l'occasion de se déterminer sur sa situation financière avant que la décision de retrait ne soit rendue. Hormis l'ampleur de ses revenus, le recourant ne conteste pas l'établissement de sa situation financière tel qu'effectué par le premier juge. Le recourant a indiqué bénéficier d'aide de la part de sa famille à raison d'environ 1'400 fr. par mois et non pas de 3'000 fr. par mois comme retenu par l'Autorité de première instance. Quel que soit le montant perçu par le recourant de la part de sa famille à titre d'aide, l'Autorité de première instance ne pouvait ignorer que cette aide ne peut être prise en compte pour déterminer les ressources du recourant, étant établi qu'il ne s'agit pas d'une avance d'hoirie, puisqu'il s'agit d'un soutien financier qui ne peut être imposé. Constater que le disponible mensuel du recourant dépassait de 1'015 fr. 75 son minimum vital strict alors qu'il bénéficie de l'aide de sa famille parce qu'il ne parvient pas à couvrir ses charges courante est dès lors manifestement erroné. L'appréciation de ce point de fait est dès lors arbitraire. Dès lors que les revenus du recourant s'élèvent exclusivement à 1'600 fr. par mois pour des charges de plus de 3'000 fr., c'est à tort que l'Autorité de première instance a révoqué l'assistance juridique qui lui a été octroyée. Eu égard à ce qui précède, le recours est admis et la décision litigieuse annulée.</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20 février 2015 par A______ contre la décision rendue le 11 février 2015 par le Vice-président du Tribunal civil dans la cause AC/1347/2010. Au fond : Annule la décision entreprise.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