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AC/1339/2021 vom 7. Juni 2021</w:t>
      </w:r>
    </w:p>
    <w:p>
      <w:r>
        <w:t>GE Cour de justice, 2021-06-07, FR</w:t>
      </w:r>
    </w:p>
    <w:p>
      <w:r>
        <w:rPr>
          <w:b/>
        </w:rPr>
        <w:t xml:space="preserve">Quelle: </w:t>
      </w:r>
      <w:r>
        <w:t>https://mcp.opencaselaw.ch/entscheid/ge_gerichte_AC_1339_2021</w:t>
      </w:r>
    </w:p>
    <w:p>
      <w:r>
        <w:t>FR: GE_GERICHTE AC/1339/2021 du 7 juin 2021</w:t>
      </w:r>
    </w:p>
    <w:p>
      <w:r>
        <w:t>IT: GE_GERICHTE AC/1339/2021 del 7 giugno 2021</w:t>
      </w:r>
    </w:p>
    <w:p>
      <w:pPr>
        <w:pStyle w:val="Heading2"/>
      </w:pPr>
      <w:r>
        <w:t>Erwägungen</w:t>
      </w:r>
    </w:p>
    <w:p>
      <w:r>
        <w:rPr>
          <w:b/>
        </w:rPr>
        <w:t>E. 1.1</w:t>
      </w:r>
    </w:p>
    <w:p>
      <w:r>
        <w:t>En tant qu'elle refuse l'assistance juridique, la décision entreprise est sujette à recours auprès de la présidente de la Cour de justice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vertu de l'art. 58 al. 1 LCR, si par suite de l'emploi d'un véhicule automobile, une personne est blessée ou un dommage matériel est causé, le détenteur est civilement responsable. Le dommage matériel est partiel lorsque l'atteinte à la chose peut être réparée, de sorte que celle-ci peut ensuite à nouveau remplir son but. Dans ce cas, le dommage consiste dans les coûts de la réparation, en tant qu'elle apparaît raisonnable compte tenu des circonstances et du devoir du lésé de réduire son dommage. Le coût de la réparation ne doit pas dépasser la valeur de la chose, auquel cas le dommage partiel est assimilé à une destruction totale, donnant droit à la valeur de remplacement de la chose. Enfin, le dommage résulte de l'atteinte à la chose, et non de sa remise en état. Aussi, le remboursement du coût de la réparation est dû au lésé, quand bien même il ne l'a pas encore entreprise, respectivement n'en n'aurait pas l'intention, dans la mesure où une telle réparation ne peut pas lui être imposée. C'est pourquoi un devis suffit souvent comme base de calcul du dommage (Werro, La responsabilité civile, 2017, n° 1092 et 1093). En vertu de l'art. 47 CO, applicable par renvoi de l'art. 62 al. 1 LCR,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w:t>
      </w:r>
    </w:p>
    <w:p>
      <w:r>
        <w:rPr>
          <w:b/>
        </w:rPr>
        <w:t>E. 2.3</w:t>
      </w:r>
    </w:p>
    <w:p>
      <w:r>
        <w:t>En l'espèce, il ne résulte pas des explications du recourant qu'il aurait été atteint dans sa santé physique ou morale du fait de l'accident. Il est ainsi très peu vraisemblable qu'il obtienne une quelconque indemnité à titre de tort moral. Sa demande est ainsi dépourvue de chances de succès à cet égard. En outre, vu la valeur de son véhicule avant accident, il ne pourra, au mieux, être indemnisé pour le dommage matériel qu'à concurrence de 2'100 fr. Dans ces circonstances, l'on peut partir du principe qu'une personne raisonnable plaidant à ses propres frais ne déposerait pas une telle demande en paiement en sachant que les frais de procédure et d'avocat risquent d'être équivalents, voire supérieurs, au montant susceptible d'être obtenu. De surcroît, au vu de la valeur litigieuse, laquelle est déterminée par les conclusions du recourant (cf. art. 91 al. 1 CPC), l'autorité de conciliation ne pourra pas soumettre aux parties de proposition de jugement (cf. art. 210 al. 1 let. c CPC), ni statuer au fond (cf. art. 212 al. 1 CPC), de sorte qu'il est très peu probable que le litige puisse être résolu au stade de la conciliation et impliquer donc de moindres frais. C'est par conséquent à juste titre que l'Autorité de première instance a refusé au recourant le bénéfice de l'assistance juridique. Partant, le recours, infondé, sera rejeté.</w:t>
      </w:r>
    </w:p>
    <w:p>
      <w:r>
        <w:rPr>
          <w:b/>
        </w:rPr>
        <w:t>E. 3</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