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AC/127/2018 vom 2. März 2018</w:t>
      </w:r>
    </w:p>
    <w:p>
      <w:r>
        <w:t>GE Cour de justice, 2018-03-02, FR</w:t>
      </w:r>
    </w:p>
    <w:p>
      <w:r>
        <w:rPr>
          <w:b/>
        </w:rPr>
        <w:t xml:space="preserve">Quelle: </w:t>
      </w:r>
      <w:r>
        <w:t>https://mcp.opencaselaw.ch/entscheid/ge_gerichte_AC_127_2018</w:t>
      </w:r>
    </w:p>
    <w:p>
      <w:r>
        <w:t>FR: GE_GERICHTE AC/127/2018 du 2 mars 2018</w:t>
      </w:r>
    </w:p>
    <w:p>
      <w:r>
        <w:t>IT: GE_GERICHTE AC/127/2018 del 2 marzo 2018</w:t>
      </w:r>
    </w:p>
    <w:p>
      <w:pPr>
        <w:pStyle w:val="Heading2"/>
      </w:pPr>
      <w:r>
        <w:t>Regeste</w:t>
      </w:r>
    </w:p>
    <w:p>
      <w:r>
        <w:t>CHANCES DE SUCCÈS ; ASSISTANCE PUBLIQUE ; ALLOCATION FAMILIALE</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en tant qu'elle refuse l'assistance juridique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2.2.1</w:t>
      </w:r>
    </w:p>
    <w:p>
      <w:r>
        <w:t>La LIASI concrétise, en droit genevois, l'art. 12 Cst. en ce qui concerne les prestations d'assistance. Elle a pour but de prévenir l'exclusion sociale et d'aider les personnes qui en souffrent à se réinsérer dans un environnement social et professionnel (art. 1 al. 1 LIASI). Les prestations d'aide financière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et les membres du groupe familial doivent faire valoir sans délai leurs droits auxquels l'aide financière est subsidiaire et doivent mettre tout en œuvre pour améliorer leur situation sociale et financière (art. 9 al. 2 LIASI). Exceptionnellement, les prestations d'aide financière peuvent être accordées à titre d'avance sur prestations sociales ou d'assurances sociales (art. 9 al. 3 let. a LIASI). Aux termes de l'art. 37 LIASI, si les prestations d'aide financière prévues par ladite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général a eu connaissance du fait qui ouvre le droit au remboursement. Le droit au remboursement s'éteint au plus tard dix ans après la survenance du fait (al. 4).</w:t>
      </w:r>
    </w:p>
    <w:p>
      <w:r>
        <w:rPr>
          <w:b/>
        </w:rPr>
        <w:t>E. 2.2.2</w:t>
      </w:r>
    </w:p>
    <w:p>
      <w:r>
        <w:t>Les allocations familiales font partie des revenus qui doivent être pris en compte dans le socle RDU conformément à l'art. 4 LRDU (art. 17 al. 1 de la loi fédérale sur l'impôt fédéral direct du 14 décembre 1990; LIFD; RS 642.11; art. 18 al. 1 LIPP; ATA/976/2014 du 9 décembre 2014 consid. 8 et les références citées). Aux termes de l'art. 4 al. 4 de la loi sur les allocations familiales du 1er mars 1996 (LAF; RS/GE J 5 10), les allocations familiales comprennent l'allocation de naissance, l'allocation d'accueil, l'allocation pour enfant et l'allocation de formation professionnelle. Lorsque plusieurs personnes peuvent faire valoir un droit aux allocations familiales pour le même enfant en vertu d'une législation fédérale ou cantonale, et qu'aucune n'exerce une activité lucrative, le droit aux prestations est reconnu à la personne chez qui l'enfant vit la plupart du temps ou vivait jusqu'à sa majorité (art. 38 al. 1 let. c LAF). Le droit aux allocations familiales arriérées s'éteint cinq ans après la fin du mois pour lequel elles étaient dues (art. 12 al. 1 LAF).</w:t>
      </w:r>
    </w:p>
    <w:p>
      <w:r>
        <w:rPr>
          <w:b/>
        </w:rPr>
        <w:t>E. 2.3</w:t>
      </w:r>
    </w:p>
    <w:p>
      <w:r>
        <w:t>En l'espèce, c'est à bon droit que l'autorité de première instance a considéré que le recourant n'avait pas la qualité pour réclamer les allocations familiales pour ses enfants, dès lors que ceux-ci vivent auprès de leur mère, qui en assume la garde, de sorte qu'elle seule est habilitée à faire valoir ce droit. C'est également à juste titre que l'autorité de première instance a considéré qu'en tout état de cause, les chances de succès des démarches envisagées étaient très faibles, voire nulles. En effet, nonobstant les imprécisions contenues dans le courrier de l'Hospice général quant à la période concernée (antérieure ou postérieure au 12 juillet 2016), il apparaît que la mère des enfants du recourant a fait l'objet d'une décision de la caisse d'allocations familiales en juillet 2016 et qu'elle perçoit vraisemblablement depuis lors les allocations familiales mensuelles pour ses quatre enfants. Or, l'Hospice général n'a tenu compte de ces revenus qu'à partir du mois de septembre 2017, de sorte qu'il a avancé les allocations familiales du 1er août 2016 au 30 juin 2017. Sa demande de remboursement paraît ainsi justifiée. Enfin, le droit aux allocations familiales arriérées se prescrivant par cinq ans, tant le recourant que la mère de ses enfants sont forclos pour demander les allocations de naissance pour leurs quatre enfants, le cadet étant déjà âgé de 10 ans.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7 avril 2018 par A______ contre la décision rendue le 2 mars 2018 par le Vice-président du Tribunal civil dans la cause AC/127/2018.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