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AC/1266/2025 vom 19. Mai 2025</w:t>
      </w:r>
    </w:p>
    <w:p>
      <w:r>
        <w:t>GE Cour de justice, 2025-05-19, FR</w:t>
      </w:r>
    </w:p>
    <w:p>
      <w:r>
        <w:rPr>
          <w:b/>
        </w:rPr>
        <w:t xml:space="preserve">Quelle: </w:t>
      </w:r>
      <w:r>
        <w:t>https://mcp.opencaselaw.ch/entscheid/ge_gerichte_AC_1266_2025</w:t>
      </w:r>
    </w:p>
    <w:p>
      <w:r>
        <w:t>FR: GE_GERICHTE AC/1266/2025 du 19 mai 2025</w:t>
      </w:r>
    </w:p>
    <w:p>
      <w:r>
        <w:t>IT: GE_GERICHTE AC/1266/2025 del 19 maggio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3.1.1</w:t>
      </w:r>
    </w:p>
    <w:p>
      <w:r>
        <w:t>L'octroi de l'assistance juridique est notamment subordonné à la condition que le requérant soit dans l'indigence (art. 29 al. 3 Cst. et 117 let. a CPC). Selon l'art. 119 al. 2 CPC, la personne requérante justifie de sa situation de fortune et de ses revenus et expose l'affaire et les moyens de preuve qu'elle entend invoquer.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La fortune d'un requérant est prise en compte dans la mesure où l'on peut exiger qu'il entame, aliène ou gage ses biens, mobiliers ou immobiliers, pour financer la défense juridique de ses intérêts (ATF 124 I 1 consid. 2a; 120 Ia 179 consid. 3a; arrêt du Tribunal fédéral 9C_147/2011 du 20 juin 2011).</w:t>
      </w:r>
    </w:p>
    <w:p>
      <w:r>
        <w:rPr>
          <w:b/>
        </w:rPr>
        <w:t>E. 3.1.2</w:t>
      </w:r>
    </w:p>
    <w:p>
      <w:r>
        <w:t>Dans le cadre de la procédure d'assistance judiciaire, la maxime inquisitoire est applicable. Elle est néanmoins limitée par le devoir de collaborer des parties résultant notamment des dispositions susmentionnées.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4A_48/2021 du 21 juin 2021 consid. 3.2; 5D_83/2020 du 28 octobre 2020 consid. 5.3.3; 4D_22/2020 du 29 juin 2020 consid. 4.2.2).</w:t>
      </w:r>
    </w:p>
    <w:p>
      <w:r>
        <w:rPr>
          <w:b/>
        </w:rPr>
        <w:t>E. 3.2</w:t>
      </w:r>
    </w:p>
    <w:p>
      <w:r>
        <w:t>En l'espèce, l'autorité de première instance a retenu que le recourant avait disposé de plus de deux ans depuis le précédent refus d'octroi de l'assistance juridique pour réaliser l'un de ses biens immobiliers, ce qui lui aurait permis d'assumer ses frais de justice. Le recourant ne remet pas valablement en cause ce qui précède, se contentant de faire valoir, comme devant l'autorité de première instance, que ses propriétés sont des actifs "non liquides". Or, il lui appartenait, déjà au stade de sa requête d'assistance juridique, de démontrer qu'il avait entrepris, sans succès, des démarches en vue de réaliser ses biens ou de constituer une hypothèque sur l'un d'entre eux. Compte tenu des motifs ayant conduit au rejet de sa demande d'assistance juridique en mai 2023, le recourant ne pouvait ignorer les exigences relatives à son devoir de collaboration au sujet de la réalisation des conditions d'octroi de l'aide étatique. Dans la mesure où il n'a pas satisfait à ses devoirs, c'est à juste titre que la Vice-présidence du Tribunal civil a refusé d'octroyer le bénéfice de l'assistance juridique au recourant au motif que l'une des conditions prévues par la loi n'était pas remplie, la propriété de trois biens immobiliers étant manifestement incompatible avec la notion d'indigence. Le recourant invoque encore la garantie du droit à un procès équitable (art. 6 CEDH), sans expliquer en quoi l'autorité de première instance aurait violé la loi à cet égard. Il s'ensuit que sur ce point, la motivation du recours est irrecevable, puisqu'elle ne répond pas aux exigences légales. Il sera tout au plus rappelé que la disposition précitée n’accorde pas de droit à l’assistance judiciaire plus étendu que la législation fédérale. Partant, le recours, infondé, sera rejeté.</w:t>
      </w:r>
    </w:p>
    <w:p>
      <w:r>
        <w:rPr>
          <w:b/>
        </w:rPr>
        <w:t>E. 4</w:t>
      </w:r>
    </w:p>
    <w:p>
      <w:r>
        <w:t>Pour le surplus, l'autorité de céans n'est pas compétente en matière d'assistance judiciaire pénale, de sorte qu'il ne sera pas entré en matière sur le chef de conclusion du recourant concernant la procédure P/3______/2025.</w:t>
      </w:r>
    </w:p>
    <w:p>
      <w:r>
        <w:rPr>
          <w:b/>
        </w:rPr>
        <w:t>E. 5</w:t>
      </w:r>
    </w:p>
    <w:p>
      <w:r>
        <w:t>Sauf exceptions non réalisées en l'espèce, il n'est pas perçu de frais judiciaires pour la procédure d'assistance juridique (art. 119 al. 6 CPC). * * * * * PAR CES MOTIFS, LA VICE-PRÉSIDENTE DE LA COUR : A la forme : Déclare recevable le recours formé par A______ contre la décision rendue le 19 mai 2025 par la vice-présidence du Tribunal civil dans la cause AC/1266/2025.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av. du Tribunal-Fédéral 29,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