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AC/1266/2020 vom 29. Juni 2020</w:t>
      </w:r>
    </w:p>
    <w:p>
      <w:r>
        <w:t>GE Cour de justice, 2020-06-29, FR</w:t>
      </w:r>
    </w:p>
    <w:p>
      <w:r>
        <w:rPr>
          <w:b/>
        </w:rPr>
        <w:t xml:space="preserve">Quelle: </w:t>
      </w:r>
      <w:r>
        <w:t>https://mcp.opencaselaw.ch/entscheid/ge_gerichte_AC_1266_2020</w:t>
      </w:r>
    </w:p>
    <w:p>
      <w:r>
        <w:t>FR: GE_GERICHTE AC/1266/2020 du 29 juin 2020</w:t>
      </w:r>
    </w:p>
    <w:p>
      <w:r>
        <w:t>IT: GE_GERICHTE AC/1266/2020 del 29 giugno 2020</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2.1</w:t>
      </w:r>
    </w:p>
    <w:p>
      <w:r>
        <w:t>Le recourant, pour autant qu'on le comprenne, ne conteste pas les motifs invoqués par l'autorité précédente pour rejeter sa requête d'assistance juridique tendant au dépôt d'une demande en paiement à l'encontre de son ancienne employeuse. Il se prévaut en revanche d'un déni de justice, invoquant avoir besoin des services d'un avocat pour obtenir le renouvellement de son permis B et assainir sa situation financière en vue notamment de pouvoir trouver un logement ainsi qu'un travail.</w:t>
      </w:r>
    </w:p>
    <w:p>
      <w:r>
        <w:rPr>
          <w:b/>
        </w:rPr>
        <w:t>E. 2.2</w:t>
      </w:r>
    </w:p>
    <w:p>
      <w:r>
        <w:t>Selon la jurisprudence, commet un déni de justice proscrit par l'art. 29 al. 1 Cst. l'autorité qui ne statue pas ou n'entre pas en matière sur une requête ou un grief qui lui est soumis dans les formes et délais légaux, alors qu'elle était compétente pour le faire (ATF 135 I 6 consid. 2.1; 134 I 229 consid. 2.3). L'autorité est donc tenue de statuer sur une conclusion qui remplit les exigences de forme, pour autant toutefois qu'il existe un intérêt juridiquement protégé à ce que la question soit tranchée (arrêt du Tribunal fédéral 5A_441/2019 du 25 octobre 2019 consid. 3.1).</w:t>
      </w:r>
    </w:p>
    <w:p>
      <w:r>
        <w:rPr>
          <w:b/>
        </w:rPr>
        <w:t>E. 2.3</w:t>
      </w:r>
    </w:p>
    <w:p>
      <w:r>
        <w:t>L'assistance juridique n'est pas accordée d'office. Selon l'art. 6 al. 1 RAJ, l'assistance juridique est requise au moyen d'un formulaire délivré par l'autorité judiciaire.</w:t>
      </w:r>
    </w:p>
    <w:p>
      <w:r>
        <w:rPr>
          <w:b/>
        </w:rPr>
        <w:t>E. 2.4</w:t>
      </w:r>
    </w:p>
    <w:p>
      <w:r>
        <w:t>En l'espèce, dans sa requête du 18 mai 2020, le recourant sollicitait uniquement l'assistance juridique pour introduire une procédure judiciaire contre son ancienne employeuse. S'il a certes mentionné dans son courrier du 23 juin 2020, en réponse à une demande du greffe de l'assistance juridique de préciser ses prétentions à l'égard de son ancienne employeuse, avoir également besoin d'un avocat pour d'autres démarches, il n'apparaît pas qu'il aurait formellement déposé une demande d'assistance juridique dans ce sens et il ne saurait être considéré qu'il pouvait être déduit de la simple expression de ce besoin une volonté de formuler une telle demande. Aucun déni de justice ne peut en conséquence être retenu à l'encontre de l'autorité de première instance. Il s'ensuit que le recours sera rejeté. Cela étant, le recourant conserve la possibilité de déposer une nouvelle demande auprès de l'assistance juridique pour les démarches évoquées dans son courrier du 23 juin 2020 ne faisant pas l'objet de sa requête du 18 mai 2020.</w:t>
      </w:r>
    </w:p>
    <w:p>
      <w:r>
        <w:rPr>
          <w:b/>
        </w:rPr>
        <w:t>E. 3</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29 juin 2020 par la Vice-présidente du Tribunal de première instance dans la cause AC/1266/2020.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Voies de recours : La présente décision incidente peut être portée dans les trente jours qui suivent sa notification par-devant le Tribunal fédéral par la voie du recours en matière de droit public (art. 82 ss de la loi fédérale sur le Tribunal fédéral du 17 juin 2005 [LTF; RS 173.110] ) si la valeur litigieuse n'est pas inférieure à 15'000 fr. ou par la voie du recours constitutionnel subsidiaire, aux conditions posées par les art. 113 ss LTF, si la valeur litigieuse est inférieure à 15'000 fr.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