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AC/1229/2020 vom 12. Oktober 2020</w:t>
      </w:r>
    </w:p>
    <w:p>
      <w:r>
        <w:t>GE Cour de justice, 2020-10-12, FR</w:t>
      </w:r>
    </w:p>
    <w:p>
      <w:r>
        <w:rPr>
          <w:b/>
        </w:rPr>
        <w:t xml:space="preserve">Quelle: </w:t>
      </w:r>
      <w:r>
        <w:t>https://mcp.opencaselaw.ch/entscheid/ge_gerichte_AC_1229_2020</w:t>
      </w:r>
    </w:p>
    <w:p>
      <w:r>
        <w:t>FR: GE_GERICHTE AC/1229/2020 du 12 octobre 2020</w:t>
      </w:r>
    </w:p>
    <w:p>
      <w:r>
        <w:t>IT: GE_GERICHTE AC/1229/2020 del 12 ottobre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Bien que le recourant, agissant en personne, n'ait pas pris de conclusions formelles, l'on comprend qu'il sollicite l'annulation de la décision entreprise.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5D_83/2020 du 28 octobre 2020 consid. 5.3.3; 4D_22/2020 du 29 juin 2020 consid. 4.2.2; 5A_181/2019 du 27 mai 2019 consid. 3.1.2).</w:t>
      </w:r>
    </w:p>
    <w:p>
      <w:r>
        <w:rPr>
          <w:b/>
        </w:rPr>
        <w:t>E. 2.1.1</w:t>
      </w:r>
    </w:p>
    <w:p>
      <w:r>
        <w:t>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w:t>
      </w:r>
    </w:p>
    <w:p>
      <w:r>
        <w:rPr>
          <w:b/>
        </w:rPr>
        <w:t>E. 2.2</w:t>
      </w:r>
    </w:p>
    <w:p>
      <w:r>
        <w:t>En l'espèce, il apparait que les courriers des 4 et 25 août 2020 ont été adressés directement au recourant et non à son conseil. Or, il ne fait aucun doute que l'existence d'un rapport de représentation a été porté à la connaissance de l'autorité de première instance puisque c'est le conseil du recourant qui a déposé la demande d'assistance juridique et que l'autorité a transmis une copie de ses courriers au recourant à son conseil. Outre que les courriers ont été communiqués par plis simples, de sorte qu'il est impossible de retenir que le recourant les a bel et bien reçus, ceux-ci auraient dus être adressés à son conseil. Par conséquent, l'autorité intimée ne pouvait tirer aucune conséquence juridique de l'absence de réaction du recourant. La décision querellée sera dès lors annulée et la cause renvoyée à l'Autorité de première instance, à laquelle il incombera de rendre une nouvelle décision après avoir donné au recourant l'opportunité de s'exprimer. Il sera relevé que le recourant avait d'ores et déjà fourni la convention dont la production était sollicitée et expliqué que sa situation financière s'était péjorée, ce qui ressortait d'ailleurs des documents financiers fournis pour établir son indigence.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23 octobre 2020 par A______ contre la décision rendue le 12 octobre 2020 par la Vice-présidente du Tribunal de première instance dans la cause AC/1229/2020. Au fond : Annule la décision entreprise. Renvoie la cause à la Vice-présidente du Tribunal de première instance pour instruction complémentaire et nouvelle décision. Déboute A______ de toutes autres conclusions. Dit qu'il n'est pas perçu de frais judiciaires pour le recours. Notifie une copie de la présente décision à A______ en l'Étude de Me Sarah PEZARD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