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AC/1220/2016 vom 10. Januar 2017</w:t>
      </w:r>
    </w:p>
    <w:p>
      <w:r>
        <w:t>GE Cour de justice, 2017-01-10, FR</w:t>
      </w:r>
    </w:p>
    <w:p>
      <w:r>
        <w:rPr>
          <w:b/>
        </w:rPr>
        <w:t xml:space="preserve">Quelle: </w:t>
      </w:r>
      <w:r>
        <w:t>https://mcp.opencaselaw.ch/entscheid/ge_gerichte_AC_1220_2016</w:t>
      </w:r>
    </w:p>
    <w:p>
      <w:r>
        <w:t>FR: GE_GERICHTE AC/1220/2016 du 10 janvier 2017</w:t>
      </w:r>
    </w:p>
    <w:p>
      <w:r>
        <w:t>IT: GE_GERICHTE AC/1220/2016 del 10 gennaio 2017</w:t>
      </w:r>
    </w:p>
    <w:p>
      <w:pPr>
        <w:pStyle w:val="Heading2"/>
      </w:pPr>
      <w:r>
        <w:t>Regeste</w:t>
      </w:r>
    </w:p>
    <w:p>
      <w:r>
        <w:t>DÉNUEMENT ; MAJORITÉ(ÂGE) ; REMBOURSEMENT DE FRAIS(ASSISTANCE)</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 le fait qu'il ait été expédié par erreur au greffe de l'Assistance juridique ne constituant qu'un vice de forme mineur.</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La recourante conteste que sa situation financière se soit améliorée et reproche à l'autorité de première instance d'avoir pris en compte les revenus de ses enfants pour établir sa situation financière.![endif]&gt;![if&gt;</w:t>
      </w:r>
    </w:p>
    <w:p>
      <w:r>
        <w:rPr>
          <w:b/>
        </w:rPr>
        <w:t>E. 2.1</w:t>
      </w:r>
    </w:p>
    <w:p>
      <w:r>
        <w:t>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l'Etat peut être exigé.</w:t>
      </w:r>
    </w:p>
    <w:p>
      <w:r>
        <w:rPr>
          <w:b/>
        </w:rPr>
        <w:t>E. 2.2</w:t>
      </w:r>
    </w:p>
    <w:p>
      <w:r>
        <w:t>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base mensuelle d'entretien d'un enfant majeur, de même que ses primes d'assurance-maladie peuvent être retenues dans le minimum vital des parents s'il est établi qu'il dépend entièrement de ceux-ci sur le plan financier (SJ 2000 II 199, p. 216). Toutefois, il convient de tenir compte des revenus réalisés par l'enfant majeur. Dans la mesure où la base d'entretien de l'enfant et ses primes d'assurance-maladie sont couvertes, leur montant ne saurait être inclus dans le minimum vital des parents. (SJ 2000 II 199, p. 217). Par ailleurs, lorsque les revenus de l'enfant sont supérieurs au montant de ses charges, l'enfant doit participer au loyer des parents (SJ 2000 II 199, p. 218).</w:t>
      </w:r>
    </w:p>
    <w:p>
      <w:r>
        <w:rPr>
          <w:b/>
        </w:rPr>
        <w:t>E. 2.3</w:t>
      </w:r>
    </w:p>
    <w:p>
      <w:r>
        <w:t>En l'espèce, il y a lieu de déterminer si les trois enfants majeurs de la recourante dépendent de celle-ci sur le plan financier. Les ressources de ces derniers s'élèvent, au total, à 4'185 fr., soit 1'350 fr. (450 fr. x 3) d'allocations familiales, 1'845 fr. (615 fr. x 3) de prestations du SPC et 990 fr. (330 fr. x 3) de rentes complémentaire AVS/AI. Leur entretien de base se monte à 2'160 fr. (600 fr. x 3, ainsi qu'une majoration de 20% de ce montant), leurs primes d'assurance-maladie étant prises en charge par la collectivité. Dans la mesure où la base d'entretien des enfants majeurs de la recourante est couverte par leurs ressources, leur montant ne peut être inclus dans le minimum vital de celle-ci. Conformément aux règles rappelées ci-dessus, dès lors que leurs ressources dépassent leurs charges, ils doivent cependant participer au loyer de leur mère. Leur solde disponible étant de 2'025 fr. (4'185 fr. – 2'160 fr.), il se justifie de leur imputer trois cinquièmes du loyer de 1'733 fr. du logement de la famille, soit 1'040 fr. (la part de l'enfant mineur étant supportée par la mère). Les ressources de la recourante et de son fils mineur s'élèvent à 2'740 fr., comprenant 1'345 fr. environ de prestations de l'Hospice général en faveur de la première nommée, 450 fr. d'allocations familiales, 615 fr. de prestations du SPC et 330 fr. de rente complémentaires AVS/AI en faveur de l'enfant mineur. Par ailleurs, leurs charges totalisent 3'035 fr., soit 693 fr. de loyer (1'733 fr. – 1'040 fr.), 2 fr. d'impôts et 2'340 fr. d'entretien de base OP (1'350 fr. + 600 fr., et majoration de 20%). Le budget de la recourante présentant ainsi un déficit de 295 fr. (2'740 fr. – 3'035 fr.), c'est à tort que la Vice-présidente du Tribunal civil a condamné celle-ci au remboursement des prestations avancées par l'Etat. Le recours sera donc admis et la décision querellée sera annulée.</w:t>
      </w:r>
    </w:p>
    <w:p>
      <w:r>
        <w:rPr>
          <w:b/>
        </w:rPr>
        <w:t>E. 3</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10 janvier 2017 par le Vice-président du Tribunal civil dans la cause AC/1220/2016. Au fond : Admet le recours et annule la décision entreprise. Déboute A______ de toutes autres conclusions. Dit qu'il n'est pas perçu de frais judiciaires pour le recours. Notifie une copie de la présente décision à A______ (art. 327 al. 5 CPC et 8 al. 3 RAJ). Siégeant : Monsieur Patrick CHENAUX, vice-président; Monsieur David VAZQUEZ, commis-greffier.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