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AC/1218/2018 vom 7. März 2019</w:t>
      </w:r>
    </w:p>
    <w:p>
      <w:r>
        <w:t>GE Cour de justice, 2019-03-07, FR</w:t>
      </w:r>
    </w:p>
    <w:p>
      <w:r>
        <w:rPr>
          <w:b/>
        </w:rPr>
        <w:t xml:space="preserve">Quelle: </w:t>
      </w:r>
      <w:r>
        <w:t>https://mcp.opencaselaw.ch/entscheid/ge_gerichte_AC_1218_2018</w:t>
      </w:r>
    </w:p>
    <w:p>
      <w:r>
        <w:t>FR: GE_GERICHTE AC/1218/2018 du 7 mars 2019</w:t>
      </w:r>
    </w:p>
    <w:p>
      <w:r>
        <w:t>IT: GE_GERICHTE AC/1218/2018 del 7 marzo 2019</w:t>
      </w:r>
    </w:p>
    <w:p>
      <w:pPr>
        <w:pStyle w:val="Heading2"/>
      </w:pPr>
      <w:r>
        <w:t>Regeste</w:t>
      </w:r>
    </w:p>
    <w:p>
      <w:r>
        <w:t>CHANCES DE SUCCÈS;VISITE</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1.2.1. Aux termes de l'art. 137 CPC, lorsque la partie est représentée, les actes sont notifiés à son représentant. La notification est faite à celui qui intervient à la connaissance du tribunal comme représentant le jour de l'envoi de l'acte (Bohnet, Code de procédure civile commenté, 2011, n. 4 ad art. 137 CPC). Lorsque la partie désigne un représentant, il n'est plus nécessaire d'élire domicile, puisque l'ensemble des notifications doit intervenir à l'adresse du représentant (Bohnet, op. cit., n. 7 ad art. 140 CPC). Seule la notification au représentant est ainsi déterminante pour le calcul du délai de recours (ATF 99 V 177 consid. 3; arrêt du Tribunal fédéral 2C_869/2013 du 19 février 2014 consid. 4.1). 1.2.2. En l'espèce, la décision entreprise a été communiquée en vue de notification par courrier recommandé expédié à la recourante en personne, alors qu'elle était représentée par un avocat. Une telle notification irrégulière ne peut entraîner aucun préjudice pour la recourante. Le conseil de cette dernière ayant déclaré avoir reçu la copie de la décision entreprise en date du 20 mars 2019, il y a lieu de se fier à cette indication, de sorte que le délai de recours a commencé à courir le 21 mars 2019 et est arrivé à échéance le 1 er avril 2019 (cf. art. 142 al. 3 CPC). Partant,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La recourante a sollicité la suspension de la présente procédure de recours jusqu'à droit jugé sur l'appel formé contre le jugement JTPI/1976/2019 .</w:t>
      </w:r>
    </w:p>
    <w:p>
      <w:r>
        <w:rPr>
          <w:b/>
        </w:rPr>
        <w:t>E. 2.1</w:t>
      </w:r>
    </w:p>
    <w:p>
      <w:r>
        <w:t>Selon l'art. 126 al. 1 CPC, le Tribunal peut ordonner la suspension de la procédure si des motifs d'opportunité le commandent, soit notamment lorsque la décision dépend du sort d'un autre procès.</w:t>
      </w:r>
    </w:p>
    <w:p>
      <w:r>
        <w:rPr>
          <w:b/>
        </w:rPr>
        <w:t>E. 2.2</w:t>
      </w:r>
    </w:p>
    <w:p>
      <w:r>
        <w:t>En l'espèce, il n'y a pas lieu de suspendre la présente procédure dans l'attente de l'issue de la procédure au fond, le seul point déterminant étant le sort réservé à la demande de provisio ad litem . Dans la mesure où celle-ci a été rejetée, par décision de la Cour du 21 février 2019, la présente cause est en état d'être jugée.</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Le père ou la mère qui ne détient pas l'autorité parentale ou la garde ainsi que l'enfant mineur ont réciproquement le droit d'entretenir les relations personnelles indiquées par les circonstances (art. 273 al. 1 CC). Le juge dispose d'un large pouvoir d'appréciation dans la fixation du droit de visite (ATF 122 III 404 consid. 3d = JdT 1998 I 46). Il n'est en particulier pas lié par les conclusions du SPMi, respectivement du SEASP. Le rapport de ces services (lequel constitue une preuve au sens des art. 168 et 190 CPC) est soumis, à l'instar des autres preuves, au principe de la libre appréciation consacré par l'art. 157 CPC (Hafner, in Basler Kommentar, Schweizerische Zivilprozessordnung, 3ème éd. 2017, n. 4 ad art. 190 CPC).</w:t>
      </w:r>
    </w:p>
    <w:p>
      <w:r>
        <w:rPr>
          <w:b/>
        </w:rPr>
        <w:t>E. 3.3</w:t>
      </w:r>
    </w:p>
    <w:p>
      <w:r>
        <w:t>En l'espèce, jusqu'au prononcé du jugement de première instance le 5 février 2019, les relations personnelles entre le père et ses enfants étaient limitées, depuis le mois de mars 2018, aux mardis de 16h à 18h et à un samedi sur deux de 12h à 18h. Or, sur la base des recommandations du SEAS, le Tribunal a fixé un droit de visite beaucoup plus large, devant s'exercer à raison d'une nuit par semaine, du jeudi 16h au vendredi 8h, un week-end sur deux, du vendredi 16h au lundi 8h, ainsi que de la moitié des vacances scolaires. Compte tenu du large pouvoir d'appréciation conféré au juge en matière de fixation du droit de visite, les conclusions de la recourante visant à l'instauration d'un droit de visite progressif du père sur les enfants ne paraissent, a priori , pas dépourvues de toute chance de succès. Ne serait-ce que pour ce motif, le Vice-président du Tribunal civil ne pouvait pas rejeter la requête d'assistance juridique de la recourante en retenant que son appel serait voué à l'échec. Le recours sera donc admis et la décision querellée sera annulée. La condition de l'indigence paraissant réalisée, notamment au vu de l'octroi de l'aide étatique à la recourante pour la procédure de première instance, l'extension d'assistance juridique sollicitée sera en conséquence octroyée pour la procédure d'appel contre le jugement JTPI/1976/2019 du 5 février 2019, avec effet au 18 février 2019. Me F______, avocat, sera désigné pour défendre les intérêts de la recourante, étant relevé que celui-ci n'a pas déclaré vouloir exercer son mandat à titre gracieux pour la procédure d'appel.</w:t>
      </w:r>
    </w:p>
    <w:p>
      <w:r>
        <w:rPr>
          <w:b/>
        </w:rPr>
        <w:t>E. 4</w:t>
      </w:r>
    </w:p>
    <w:p>
      <w:r>
        <w:t>Sauf exceptions non réalisées en l'espèce, il n'est pas perçu de frais judiciaires pour la procédure d'assistance juridique (art. 119 al. 6 CPC). Par ailleurs, il n'y a pas lieu de déroger à la pratique constante de l'Autorité de céans selon laquelle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 PAR CES MOTIFS, LE VICE-PRÉSIDENT DE LA COUR : Préalablement : Ordonne l'apport de la procédure C/1______/2018. A la forme : Déclare recevable le recours formé par A______ contre la décision rendue le 7 mars 2019 par le Vice-président du Tribunal civil dans la cause AC/1218/2018. Au fond : Annule la décision entreprise et cela fait, statuant à nouveau : Met A______ au bénéfice de l'assistance juridique pour la procédure d'appel contre le jugement JTPI/1976/2019 du 5 février 2019, avec effet au 18 février 2019. Commet à cette fin M e F______, avocat. Déboute A______ de toutes autres conclusions. Dit qu'il n'est pas perçu de frais judiciaires pour le recours, ni alloué de dépens. Notifie une copie de la présente décision à A______ en l'Étude de M e F______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