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AC/1216/2025 vom 22. Mai 2025</w:t>
      </w:r>
    </w:p>
    <w:p>
      <w:r>
        <w:t>GE Cour de justice, 2025-05-22, FR</w:t>
      </w:r>
    </w:p>
    <w:p>
      <w:r>
        <w:rPr>
          <w:b/>
        </w:rPr>
        <w:t xml:space="preserve">Quelle: </w:t>
      </w:r>
      <w:r>
        <w:t>https://mcp.opencaselaw.ch/entscheid/ge_gerichte_AC_1216_2025</w:t>
      </w:r>
    </w:p>
    <w:p>
      <w:r>
        <w:t>FR: GE_GERICHTE AC/1216/2025 du 22 mai 2025</w:t>
      </w:r>
    </w:p>
    <w:p>
      <w:r>
        <w:t>IT: GE_GERICHTE AC/1216/2025 del 22 maggio 2025</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Il ne faut pas se fonder sur une situation financière hypothétique, mais sur la situation réelle (ATF 99 Ia 437 consid. 3c, JdT 1976 I 57; 104 Ia 31 consid. 4; arrêt du Tribunal fédéral 5P_113/2004 du 28 avril 2004 consid. 4, cité in CPC online ad art. 117 CPC). Il incombe au requérant d'indiquer de manière complète et d'établir autant que faire se peut ses revenus, sa situation de fortune et ses charges (art. 119 al. 2 CPC et 7 al. 2 RAJ ; ATF 135 I 221 consid. 5.1 ; arrêt du Tribunal fédéral 2C_585/2015 du 30 novembre 2015 consid. 5).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 ATF 124 I 1 consid. 2a). L'octroi de l'assistance juridique ne doit toutefois pas conduire à ce que le requérant dispose de plus ou d'autres moyens que ceux nécessaires pour mener une vie simple. Un tel résultat serait toutefois indirectement atteint si l'amortissement ou l'extinction d'engagements pris par le requérant pour financer des biens de consommation non indispensables à ses besoins vitaux étaient pris en compte sans réserve dans le calcul du minimum vital. Si de telles dettes peuvent être éteintes ou réduites de manière significative par la réalisation ou le remplacement de ces biens, elles ne peuvent pas être prises en considération dans le minimum vital. Autrement dit, de telles dettes n'entrent pas en ligne de compte pour déterminer l'indigence, si le requérant peut se séparer desdits biens sans sacrifice économique disproportionné (Bühler, Betreibungs- und prozessrechtliches Existenzminimum, PJA 2002, p. 644 ss, p. 656). Il appartient au justiciable sollicitant l'aide de l'État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 135 I 221 consid. 5.1).</w:t>
      </w:r>
    </w:p>
    <w:p>
      <w:r>
        <w:rPr>
          <w:b/>
        </w:rPr>
        <w:t>E. 3.2</w:t>
      </w:r>
    </w:p>
    <w:p>
      <w:r>
        <w:t>En l'espèce, dès lors que l’indigence doit être déterminée selon les circonstances concrètes (et non hypothétiques) au moment de l’introduction de la requête, il n'y a pas lieu de tenir compte d'une éventuelle pension alimentaire que le recourant pourrait être condamné à payer (éventuellement avec effet rétroactif) pour l'entretien des siens à l'issue de la procédure pour laquelle l'aide étatique est sollicitée. Par ailleurs, les frais de santé que le recourant doit prendre en charge en sus de sa prime d'assurance-maladie peuvent certes être pris en compte dans le calcul de son minimum vital, mais cela nécessite qu'il rende vraisemblable qu'il s'agit de frais récurrents (cf. arrêt du Tribunal fédéral 5A_849/2014 du 30 mars 2015 consid. 4.1). Dans la mesure où le recourant a produit les seuls frais encourus pour une partie de l'année 2025, c'est à juste titre que l'autorité de première instance n'a pas comptabilisé les frais allégués par le recourant pour ce poste. Le recourant fait nouvellement valoir que l'usage d'un véhicule serait nécessaire pour l'exercice de son droit de visite, en raison du handicap dont souffre son fils. Or, ces éléments nouveaux sont irrecevables en seconde instance (cf. supra consid. 2). Compte tenu des éléments portés à la connaissance de l'autorité de première instance, c'est à bon droit que cette charge a été écartée. Enfin, même en tenant compte du remboursement de la dette hypothécaire liée à la maison qui constituait le logement de famille avant la séparation – ce qui représente un montant d'environ 840 fr. par mois, selon le recourant – son budget présenterait encore un solde positif mensuel de 1'461 fr. (2'301 fr. de disponible retenu par l'autorité de première instance – 840 fr.). Ce montant est suffisant pour couvrir les frais présumés de la procédure de mesures protectrices de l'union conjugale. Compte tenu de ce qui précède, c'est à juste titre que le bénéfice de l'assistance juridique n'a pas été octroyé au recourant au motif qu'il ne remplissait pas la condition d'indigence.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 PAR CES MOTIFS, LA VICE-PRÉSIDENTE DE LA COUR : A la forme : Déclare recevable le recours formé par A______ contre la décision rendue le 22 mai 2025 par la vice-présidence du Tribunal civil dans la cause AC/1216/2025.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