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AC/120/2016 vom 31. Januar 2018</w:t>
      </w:r>
    </w:p>
    <w:p>
      <w:r>
        <w:t>GE Cour de justice, 2018-01-31, FR</w:t>
      </w:r>
    </w:p>
    <w:p>
      <w:r>
        <w:rPr>
          <w:b/>
        </w:rPr>
        <w:t xml:space="preserve">Quelle: </w:t>
      </w:r>
      <w:r>
        <w:t>https://mcp.opencaselaw.ch/entscheid/ge_gerichte_AC_120_2016</w:t>
      </w:r>
    </w:p>
    <w:p>
      <w:r>
        <w:t>FR: GE_GERICHTE AC/120/2016 du 31 janvier 2018</w:t>
      </w:r>
    </w:p>
    <w:p>
      <w:r>
        <w:t>IT: GE_GERICHTE AC/120/2016 del 31 gennaio 2018</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2.2</w:t>
      </w:r>
    </w:p>
    <w:p>
      <w:r>
        <w:t>En l'espèce, c'est de manière arbitraire, au vu des éléments portés à sa connaissance, que l'autorité de première instance a considéré que la recourante était en mesure de rembourser à l'Etat la somme de 2'062 fr. 50. En effet, au moment de rendre sa décision, le premier juge était informé du fait que la recourante s'était inscrite au chômage en date du 12 janvier 2018. Il ne pouvait dès lors pas ignorer que ses ressources financières allaient baisser d'environ 20% dès janvier 2018. Or, en prenant en compte cet élément, le budget du ménage formé par la recourante et sa fille présente un déficit mensuel de 104 fr. 95 (3'801 fr. 15 de revenus, dont 2'732 fr. 80 d'indemnités de chômage – 3'906 fr. 10 de charges). Il s'ensuit que c'est à tort que l'autorité de première instance a considéré que la recourante possédait les moyens suffisants pour régler sa dette envers l'Etat. Le recours sera par conséquent admis et la décision querellée annulée.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14 février 2018 par A______ contre la décision rendue le 31 janvier 2018 par le Vice-président du Tribunal civil dans la cause AC/120/2016. Au fond : Annule cette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