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AC/1207/2020 vom 28. Mai 2020</w:t>
      </w:r>
    </w:p>
    <w:p>
      <w:r>
        <w:t>GE Cour de justice, 2020-05-28, FR</w:t>
      </w:r>
    </w:p>
    <w:p>
      <w:r>
        <w:rPr>
          <w:b/>
        </w:rPr>
        <w:t xml:space="preserve">Quelle: </w:t>
      </w:r>
      <w:r>
        <w:t>https://mcp.opencaselaw.ch/entscheid/ge_gerichte_AC_1207_2020</w:t>
      </w:r>
    </w:p>
    <w:p>
      <w:r>
        <w:t>FR: GE_GERICHTE AC/1207/2020 du 28 mai 2020</w:t>
      </w:r>
    </w:p>
    <w:p>
      <w:r>
        <w:t>IT: GE_GERICHTE AC/1207/2020 del 28 maggio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 Par conséquent, les allégués de faits dont le recourant n'a pas fait état en première instance et les pièces nouvelles ne seront pas pris en considération .</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L'art. 23 CO dispose que le contrat n'oblige pas celle des parties qui, au moment de le conclure, était dans une erreur essentielle. A teneur de l'art. 24 CO, l'erreur est essentielle, notamment: lorsque la partie qui se prévaut de son erreur entendait faire un contrat autre que celui auquel elle a déclaré consentir (ch. 1); lorsqu'elle avait en vue une autre chose que celle qui a fait l'objet du contrat, ou une autre personne et qu'elle s'est engagée principalement en considération de cette personne (ch. 2); lorsque la prestation promise par celui des contractants qui se prévaut de son erreur est notablement plus étendue, ou lorsque la contre-prestation l'est notablement moins qu'il ne le voulait en réalité (ch.3); lorsque l'erreur porte sur des faits que la loyauté commerciale permettait à celui qui se prévaut de son erreur de considérer comme des éléments nécessaires du contrat (ch. 4). Selon l'art. 28 al. 1 CO la partie induite à contracter par le dol de l'autre n'est pas obligée, même si son erreur n'est pas essentielle. L'art. 28 CO nécessite d'une part que le co-contractant ait été trompé intentionnellement - le dol éventuel suffit et l'erreur du lésé n'a pas besoin d'être essentielle - et d'autre part que la tromperie ait abouti: le dol doit être la cause de la conclusion du contrat, le cocontractant doit avoir influencé sa victime (ATF 136 III 528 , in JT 2014 II 439 ).</w:t>
      </w:r>
    </w:p>
    <w:p>
      <w:r>
        <w:rPr>
          <w:b/>
        </w:rPr>
        <w:t>E. 3.1.3</w:t>
      </w:r>
    </w:p>
    <w:p>
      <w:r>
        <w:t>Selon l'art. 254 CO, une transaction couplée avec le bail d'habitation ou de locaux commerciaux est nulle lorsque la conclusion ou la continuation du bail y est subordonnée et que, par cette transaction, le locataire contracte envers le bailleur ou un tiers des obligations qui ne sont pas en relation directe avec l'usage de la chose louée. L'art. 254 CO prohibe les transactions couplées répondant à trois conditions cumulatives: le bail porte sur une habitation même de luxe ou un local commercial, l'affaire couplée est la condition sine qua non de la conclusion ou de la poursuite du bail et l'obligation imposée au locataire par la transaction couplée est sans relation directe avec l'usage des locaux loués (Lachat, op. cit. ad art. 254 CO).</w:t>
      </w:r>
    </w:p>
    <w:p>
      <w:r>
        <w:rPr>
          <w:b/>
        </w:rPr>
        <w:t>E. 3.2</w:t>
      </w:r>
    </w:p>
    <w:p>
      <w:r>
        <w:t>En l'espèce, le recourant fonde la nullité des contrats des 3 juillet 2015 et 25 février 2019 exclusivement sur la prétendue nullité de la convention du 30 janvier 2015. Or, le projet de convention non signé du 30 janvier 2015 produit par le recourant ne mentionne pas son nom et aucun autre document qui permettrait de penser qu'entre la rédaction du projet de convention et la conclusion du contrat, qui n'est pas produit, le recourant soit devenu partie à l'accord. Le recourant n'est pas non plus mentionné en tant que nouveau locataire dans l'avenant au contrat de bail signé le 5 février 2015. Compte tenu des pièces produites, c'est à juste titre que la Vice-présidente du Tribunal de première instance a considéré que le recourant n'était pas partie à la convention du 30 janvier 2015. Il importe donc peu que celle-ci soit valable ou pas au regard de l'art. 254 CO, puisque le recourant ne pouvait pas penser qu'il était dans l'obligation de signer les contrats du 3 juillet 2015, puis du 25 février 2019, n'ayant pris aucun engagement préalable à cet égard envers qui que ce soit. Par ailleurs, hormis sa prétendue erreur quant à son engagement financier, le recourant n'allègue pas de fait pouvant tomber sous la qualification de contrainte au sens de l'art. 28 CO. Par conséquent, c'est à bon droit que le premier juge a considéré que les conditions de l'erreur essentielle et du dol n'étaient a priori pas remplies. Il sera, à titre superfétatoire, relevé que la convention de remise de commerce du 30 janvier 2015 aurait été conclue avant même que le bailleur n'en soit informé et que B______ ne devienne locataire du bail sis 1______. Rien ne permet de retenir, à première vue, que le bailleur a été au courant du contrat de remise de commerce, aucun échange de correspondance n'ayant été produit sur ce point. En outre, il n'est pas allégué que C______ aurait agi pour la bailleresse. Il apparait donc que la convention de remise de commerce du 30 janvier 2015 aurait été négociée et conclue de manière indépendante au contrat de bail et sans que le bailleur ne soit même impliqué, de sorte qu'elle ne contrevient pas à l'art. 254 CO et que les parties se sont valablement engagées. Il est vrai que généralement les "frais de créanciers" réclamés par les institutions de recouvrement en sus des montants initialement dus ne sont pas justifiés, de sorte qu'il pourrait être admis par le juge du fond que la somme de 16'995 fr. ne soit pas due. Cela étant, dans la mesure où le recourant a fait opposition au commandement de payer, il pourra faire valoir ses arguments à moindre frais en procédure sommaire, en tant que défendeur dans une éventuelle procédure de mainlevée initiée par I______ SA. Compte tenu de l'ensemble de ce qui précède, c'est à bon droit que la Vice-présidente du Tribunal civil a refusé d'octroyer le bénéfice de l'assistance juridique au recourant. Partant, le recours infondé, sera rejeté.</w:t>
      </w:r>
    </w:p>
    <w:p>
      <w:r>
        <w:rPr>
          <w:b/>
        </w:rPr>
        <w:t>E. 4</w:t>
      </w:r>
    </w:p>
    <w:p>
      <w:r>
        <w:t>Sauf exceptions non réalisées en l'espèce, il n'est pas perçu de frais judiciaires pour la procédure d'assistance juridique (art. 119 al. 6 CPC). Le recourant ayant succombé, il ne saurait se voir allouer des dépens. * * * * * PAR CES MOTIFS, LE VICE-PRÉSIDENT DE LA COUR : A la forme : Déclare recevable le recours formé le 5 juin 2020 par A______ contre la décision rendue le 28 mai 2020 par la Vice-présidente du Tribunal de première instance dans la cause AC/1207/2020. Au fond : Le rejette. Déboute A______ de toutes autres conclusions. Dit qu'il n'est pas perçu de frais judiciaires pour le recours, ni alloué de dépens. Notifie une copie de la présente décision à A______ en l'Étude de Me Tano BARTH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