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AC/1205/2020 vom 28. Mai 2020</w:t>
      </w:r>
    </w:p>
    <w:p>
      <w:r>
        <w:t>GE Cour de justice, 2020-05-28, FR</w:t>
      </w:r>
    </w:p>
    <w:p>
      <w:r>
        <w:rPr>
          <w:b/>
        </w:rPr>
        <w:t xml:space="preserve">Quelle: </w:t>
      </w:r>
      <w:r>
        <w:t>https://mcp.opencaselaw.ch/entscheid/ge_gerichte_AC_1205_2020</w:t>
      </w:r>
    </w:p>
    <w:p>
      <w:r>
        <w:t>FR: GE_GERICHTE AC/1205/2020 du 28 mai 2020</w:t>
      </w:r>
    </w:p>
    <w:p>
      <w:r>
        <w:t>IT: GE_GERICHTE AC/1205/2020 del 28 maggio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pièces nouvelles dont le recourant n'a pas fait état en première instance ne seront pas prises en considération.</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L'art. 23 CO dispose que le contrat n'oblige pas celle des parties qui, au moment de le conclure, était dans une erreur essentielle. A teneur de l'art. 24 CO, l'erreur est essentielle, notamment: lorsque la partie qui se prévaut de son erreur entendait faire un contrat autre que celui auquel elle a déclaré consentir (ch. 1); lorsqu'elle avait en vue un autre chose que celle qui a fait l'objet du contrat, ou une autre personne et qu'elle s'est engagée principalement en considération de cette personne (ch. 2); lorsque la prestation promise par celui des contractants qui se prévaut de son erreur est notablement plus étendue, ou lorsque la contre-prestation l'est notablement moins qu'il ne le voulait en réalité (ch.3); lorsque l'erreur porte sur des faits que la loyauté commerciale permettait à celui qui se prévaut de son erreur de considérer comme des éléments nécessaires du contrat (ch. 4). Selon l'art. 28 al. 1 CO la partie induite à contracter par le dol de l'autre n'est pas obligée, même si son erreur n'est pas essentielle. L'art. 28 CO nécessite d'une part que le co-contractant ait été trompé intentionnellement - le dol éventuel suffit et l'erreur du lésé n'a pas besoin d'être essentielle - et d'autre part que la tromperie ait abouti: le dol doit être la cause de la conclusion du contrat, le cocontractant doit avoir influencé sa victime (ATF 136 III 528 , in JT 2014 II 439 ).</w:t>
      </w:r>
    </w:p>
    <w:p>
      <w:r>
        <w:rPr>
          <w:b/>
        </w:rPr>
        <w:t>E. 3.1.3</w:t>
      </w:r>
    </w:p>
    <w:p>
      <w:r>
        <w:t>Selon l'art. 254 CO, une transaction couplée avec le bail d'habitation ou de locaux commerciaux est nulle lorsque la conclusion ou la continuation du bail y est subordonnée et que, par cette transaction, le locataire contracte envers le bailleur ou un tiers des obligations qui ne sont pas en relation directe avec l'usage de la chose louée. Par exemple, une convention de pas de porte peut tomber sous le coup de l'art. 254 CO, lorsqu'elle est une condition pour la conclusion du contrat de bail (Lachat, Commentaire romande Code des Obligations I, 2012, n. 6 ad. art. 254 CO). L'art. 254 CO prohibe les transactions couplées répondant à trois conditions cumulatives: le bail porte sur une habitation même de luxe ou un local commercial, l'affaire couplée est la condition sine qua non de la conclusion ou de la poursuite du bail et l'obligation imposée au locataire par la transaction couplée est sans relation directe avec l'usage des locaux loués (Lachat, op. cit. ad art. 254 CO). Selon le Tribunal fédéral, le bailleur est la seule personne pouvant effectuer un couplage à même d'être réprouvé par la loi, le tiers au sens de l'art. 254 CO étant celui qui agit en lieu et place du bailleur et pour le compte de ce dernier (arrêt du Tribunal fédéral 4C_161/2001 du 26 septembre 2001 consid. 3). Dans certains cas l'art. 254 CO est applicable pour une transaction impliquant non pas le bailleur mais un tiers. Toutefois, un couplage illicite ne peut entrer en ligne de compte que lorsque le bailleur a au moins eu connaissance de la transaction et l'a acceptée; le bailleur doit être conscient du lien couplé pour que celui-ci puisse être considéré comme illicite (Honseill/Vogt/Wiegand, Commentaire bâlois, 2020, 7 e ed., n.5 ad art. 254 CO).</w:t>
      </w:r>
    </w:p>
    <w:p>
      <w:r>
        <w:rPr>
          <w:b/>
        </w:rPr>
        <w:t>E. 3.2</w:t>
      </w:r>
    </w:p>
    <w:p>
      <w:r>
        <w:t>En l'espèce, le recourant fonde la nullité des contrats des 3 juillet 2015 et 25 février 2019 exclusivement sur la prétendue nullité de la convention du 30 janvier 2015, par laquelle il s'est engagé à reprendre la dette du vendeur envers D______ SA, de manière contraire à l'art. 254 CO. Or, la convention de remise de commerce, non produite, aurait été conclue le 30 janvier 2015, soit avant même que le bailleur n'en soit informé et que le recourant ne devienne locataire. Rien ne permet de retenir à première vue que le bailleur a été au courant du contrat de remise de commerce; aucun échange de correspondance n'ayant été produit sur ce point. En outre, il n'est pas allégué que B______ aurait agi pour la bailleresse. Même à retenir, comme l'allègue le recourant, qu'une partie de la doctrine puisse critiquer la jurisprudence du Tribunal fédéral selon laquelle le bailleur doit être au minimum informé de la transaction couplée pour qu'elle soit illicite, rien ne laisse présager que les tribunaux s'écarteraient de la jurisprudence du Tribunal fédéral, étant relevé que le recourant se garde de citer les "nombreuses décisions" cantonales contraires qui auraient été selon lui rendues. C'est ainsi à juste titre que la Vice-présidente du Tribunal de première instance a considéré que le recourant n'avait pas rendu vraisemblable que les conditions de l'art. 254 CO étaient remplies en l'espèce. Dans la mesure où la convention du 30 janvier 2015 est, a priori , valable, le recourant ne rend pas vraisemblable que les conditions permettant d'invalider les contrats des 3 juillet 2015 et 25 février 2019 pour erreur essentielle seraient remplies en l'espèce. Par ailleurs, hormis sa prétendue erreur quant à son engagement financier, le recourant n'allègue pas de fait pouvant tomber sous la qualification de contrainte au sens de l'art. 28 CO. Le recourant ne rend donc pas vraisemblable qu'il aurait été victime de dol. Il est vrai que généralement les "frais de créancier" réclamés par les institutions de recouvrement en sus des montants initialement dus ne sont pas justifiés, de sorte qu'il pourrait être admis par le juge du fond que la somme de 23'320 fr. ne soit pas due. Toutefois, force est de constater que le recourant ne fournit aucune preuve que ce montant lui ait effectivement été réclamé, faute d'avoir produit le commandement de payer et l'avis de saisie correspondant. Compte tenu de l'ensemble de ce qui précède, c'est à bon droit que la Vice-présidente du Tribunal civil a refusé d'octroyer le bénéfice de l'assistance juridique au recourant au motif que sa cause paraissait dénuée de chances de succès. Partant, le recours infondé, sera rejeté.</w:t>
      </w:r>
    </w:p>
    <w:p>
      <w:r>
        <w:rPr>
          <w:b/>
        </w:rPr>
        <w:t>E. 4</w:t>
      </w:r>
    </w:p>
    <w:p>
      <w:r>
        <w:t>Sauf exceptions non réalisées en l'espèce, il n'est pas perçu de frais judiciaires pour la procédure d'assistance juridique (art. 119 al. 6 CPC). Le recourant ayant succombé, il ne saurait se voir allouer des dépens. * * * * * PAR CES MOTIFS, LE VICE-PRÉSIDENT DE LA COUR : A la forme : Déclare recevable le recours formé le 5 juin 2020 par A______ contre la décision rendue le 28 mai 2020 par la Vice-présidente du Tribunal de première instance dans la cause AC/1205/2020. Au fond : Le rejette. Déboute A______ de toutes autres conclusions. Dit qu'il n'est pas perçu de frais judiciaires pour le recours, ni alloué de dépens. Notifie une copie de la présente décision à A______ en l'Étude de M e Tano BARTH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