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AC/1174/2014 vom 4. März 2016</w:t>
      </w:r>
    </w:p>
    <w:p>
      <w:r>
        <w:t>GE Cour de justice, 2016-03-04, FR</w:t>
      </w:r>
    </w:p>
    <w:p>
      <w:r>
        <w:rPr>
          <w:b/>
        </w:rPr>
        <w:t xml:space="preserve">Quelle: </w:t>
      </w:r>
      <w:r>
        <w:t>https://mcp.opencaselaw.ch/entscheid/ge_gerichte_AC_1174_2014</w:t>
      </w:r>
    </w:p>
    <w:p>
      <w:r>
        <w:t>FR: GE_GERICHTE AC/1174/2014 du 4 mars 2016</w:t>
      </w:r>
    </w:p>
    <w:p>
      <w:r>
        <w:t>IT: GE_GERICHTE AC/1174/2014 del 4 marzo 2016</w:t>
      </w:r>
    </w:p>
    <w:p>
      <w:pPr>
        <w:pStyle w:val="Heading2"/>
      </w:pPr>
      <w:r>
        <w:t>Regeste</w:t>
      </w:r>
    </w:p>
    <w:p>
      <w:r>
        <w:t>DÉCISION DE TAXATION; RESTITUTION(EN GÉNÉRAL) | CPC.123; RAJ.19.1</w:t>
      </w:r>
    </w:p>
    <w:p>
      <w:pPr>
        <w:pStyle w:val="Heading2"/>
      </w:pPr>
      <w:r>
        <w:t>Erwägungen</w:t>
      </w:r>
    </w:p>
    <w:p>
      <w:r>
        <w:rPr>
          <w:b/>
        </w:rPr>
        <w:t>E. 1.1</w:t>
      </w:r>
    </w:p>
    <w:p>
      <w:r>
        <w:t>Les décisions de remboursement prises par le vice-président du Tribunal civil en matière d'assistance judiciaire peuvent faire l'objet d'un recours auprès de la Présidence de la Cour de justice (art. 10 al. 4 LPA, 11 et 19 al. 5 RAJ), compétence déléguée au vice-président soussigné (art. 29 al. 5 LOJ ; arrêt du Tribunal fédéral 2D_6/2012 du 31 juillet 2012 consid. 2). Le recours, écrit et motivé, est introduit auprès de l'instance de recours dans un délai de 10 jours (art. 130, 131 et 321 al. 1 et 2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son pouvoir d'examen est limité à la violation du droit et à la constatation manifestement inexacte des faits (art. 320 CPC, applicable par renvoi de l'art. 8 al. 3 RAJ et 10 al. 4 LPA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w:t>
      </w:r>
    </w:p>
    <w:p>
      <w:r>
        <w:rPr>
          <w:b/>
        </w:rPr>
        <w:t>E. 2.1</w:t>
      </w:r>
    </w:p>
    <w:p>
      <w:r>
        <w:t>À teneur de l'art. 123 CPC, applicable par renvoi de l'art. 8 al. 3 RAJ et 10 al. 4 LPA, une partie est tenue de rembourser l'assistance juridique dès qu'elle est en mesure de le faire (al. 1). La créance du canton se prescrit par dix ans à compter de la fin du procès (al. 2).![endif]&gt;![if&gt;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À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 et au remboursement des montants versés par l'État, sous déduction des mensualités déjà payées (art. 19 al. 1 RAJ). La somme due à ce titre ne peut excéder l'équivalent de 60 mensualités si la situation de la personne bénéficiaire ne s'est pas améliorée (art. 19 al. 2 RAJ).</w:t>
      </w:r>
    </w:p>
    <w:p>
      <w:r>
        <w:rPr>
          <w:b/>
        </w:rPr>
        <w:t>E. 2.2</w:t>
      </w:r>
    </w:p>
    <w:p>
      <w:r>
        <w:t>En l'espèce, dans l'état de frais établi par l'avocat du recourant, une heure de conférence a été omise dans le total de l'activité déployée pour la défense de ce dernier. Tenant compte de cette heure de travail (à 200 fr.), le greffe de l'assistance juridique a fixé l'indemnisation de l'avocat à 1'296 fr. 40. Compte tenu de ce qui précède, l'autorité de première instance a retenu de façon correcte que ce montant avait été payé à l'avocat nommé. Le solde à rembourser par le recourant à l'État de Genève s'élève dès lors à 666 fr. 40, comme retenu dans la décision querellée. Par conséquent, le recours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4 mars 2016 par le Vice-président du Tribunal civil dans la cause AC/1174/2014.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