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AC/1120/2013 vom 15. Januar 2014</w:t>
      </w:r>
    </w:p>
    <w:p>
      <w:r>
        <w:t>GE Cour de justice, 2014-01-15, FR</w:t>
      </w:r>
    </w:p>
    <w:p>
      <w:r>
        <w:rPr>
          <w:b/>
        </w:rPr>
        <w:t xml:space="preserve">Quelle: </w:t>
      </w:r>
      <w:r>
        <w:t>https://mcp.opencaselaw.ch/entscheid/ge_gerichte_AC_1120_2013</w:t>
      </w:r>
    </w:p>
    <w:p>
      <w:r>
        <w:t>FR: GE_GERICHTE AC/1120/2013 du 15 janvier 2014</w:t>
      </w:r>
    </w:p>
    <w:p>
      <w:r>
        <w:t>IT: GE_GERICHTE AC/1120/2013 del 15 gennaio 2014</w:t>
      </w:r>
    </w:p>
    <w:p>
      <w:pPr>
        <w:pStyle w:val="Heading2"/>
      </w:pPr>
      <w:r>
        <w:t>Regeste</w:t>
      </w:r>
    </w:p>
    <w:p>
      <w:r>
        <w:t>CHANCES DE SUCCÈS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L'assistance judiciaire peut être octroyée déjà au stade de la procédure de conciliation (cf. art. 113 al. 1, 2ème phrase CPC), pour autant que les conditions des art. 117 et 118 al. 1 let. c CPC soient réunies (Tappy, Code de procédure civile commenté, 2011, n. 12 ad art. 117 CPC).![endif]&gt;![if&gt; La règle est cependant l'octroi complet pour l'ensemble d'une instance, procédure de conciliation comprise (Tappy, op. cit., n. 23 ad art. 118 CPC).</w:t>
      </w:r>
    </w:p>
    <w:p>
      <w:r>
        <w:rPr>
          <w:b/>
        </w:rPr>
        <w:t>E. 2.2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2.3</w:t>
      </w:r>
    </w:p>
    <w:p>
      <w:r>
        <w:t>Selon l'art. 17 CO, la reconnaissance d'une dette est valable, même si elle n'énonce pas la cause de l'obligation. Néanmoins, il n'y a point d'obligation (dette ou créance) en l'absence d'une cause valable (Tevini, Code des obligations I, Commentaire romand, 2 ème éd., 2012, n. 2 ad art. 17 CO).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(arrêt du Tribunal fédéral 4A_17/2009 du 14 avril 2009 consid. 3.2).</w:t>
      </w:r>
    </w:p>
    <w:p>
      <w:r>
        <w:rPr>
          <w:b/>
        </w:rPr>
        <w:t>E. 2.4</w:t>
      </w:r>
    </w:p>
    <w:p>
      <w:r>
        <w:t>Une personne peut garantir le paiement d'un tiers débiteur en s'obligeant par un contrat de cautionnement conclu entre lui et le créancier, selon l'art. 492 al. 1 CO. Ce but peut cependant aussi être réalisé avec d'autres instruments juridiques tels que la promesse de porte-fort (art. 111 CO) ou l'engagement solidaire; ce dernier est dit reprise cumulative de dette s'il intervient alors que le débiteur s'est déjà obligé. 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En optant pour l'une ou l'autre de ces deux garanties-ci, les parties peuvent éviter les difficultés ou inconvénients de la forme authentique et l'obligation du garant n'en est pas moins valable. Si, à ce sujet, une volonté commune des parties ne peut pas être constatée, c'est le principe de la confiance qui détermine le type de garantie adopté par elles. Cependant, compte tenu que dans le cautionnement, la forme authentique est requise pour la protection du garant contre des engagements auxquels celui-ci n'aurait pas mûrement réfléchi, le juge n'admet qu'avec retenue le choix des parties en faveur de la promesse de porte-fort ou de l'engagement solidaire (arrêt du Tribunal fédéral 4C.24/2007 du 26 avril 2007 consid. 5).</w:t>
      </w:r>
    </w:p>
    <w:p>
      <w:r>
        <w:rPr>
          <w:b/>
        </w:rPr>
        <w:t>E. 2.5</w:t>
      </w:r>
    </w:p>
    <w:p>
      <w:r>
        <w:t>Aux termes de l'art. 328 CC, chacun, pour autant qu'il vive dans l'aisance, est tenu de fournir des aliments à ses parents en ligne directe ascendante et descendante, lorsque, à défaut de cette assistance, ils tomberaient dans le besoin.</w:t>
      </w:r>
    </w:p>
    <w:p>
      <w:r>
        <w:rPr>
          <w:b/>
        </w:rPr>
        <w:t>E. 2.6</w:t>
      </w:r>
    </w:p>
    <w:p>
      <w:r>
        <w:t>En l'espèce, sous l'angle de l'examen des chances de succès, le fait que les circonstances ne se soient pas modifiées depuis le dépôt de la demande d'assistance juridique, l'action au fond étant en tous points identique à la requête de conciliation, devrait d'ores et déjà justifier l'octroi de l'assistance juridique pour la suite de la procédure de première instance. Cela est d'ailleurs confirmé par ce qui suit. En ce qui concerne le rapport juridique fondant la reconnaissance de dette, le recourant ne peut être tenu de s'acquitter des frais médicaux de sa mère sur la base de l'art. 328 CC, l'obligation d'entretien en faveur d'un parent n'existant qu'à la condition que le descendant vive dans l'aisance. Cette dernière condition ne semble a priori pas remplie, compte tenu de la demande de plan de paiement effectuée par le recourant auprès des HUG et du fait qu'il a été bénéficiaire de l'assistance juridique. Par ailleurs, au vu des principes rappelés ci-dessus, il n'est pas exclu que le juge ne puisse retenir que le recourant s'est engagé à prendre en charge les frais médicaux précités au titre de reprise cumulative de dette. Pour le surplus, à supposer que le recourant se soit porté garant des frais médicaux de sa mère dans le cadre de la demande de visa que cette dernière a vraisemblablement dû déposer (en tant que ressortissante tunisienne) avant de se rendre en Suisse, ladite garantie ne porterait que sur la somme de 30'000 fr. au maximum, au regard des conditions posées par l'Office fédéral des migrations (cf. Notice sur la déclaration de prise en charge [procédure de visa]). Compte tenu de ce qui précède, la procédure initiée par le recourant ne paraît pas d'emblée dénuée de toutes chances de succès. Partant, la décision querellée sera annulée et la cause renvoyée au Vice-président du Tribunal civil pour examiner si la condition de l'indigence était toujours remplie au moment de la demande d'extension de l'assistance juridique.</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15 janvier 2014 par le Vice-président du Tribunal civil dans la cause AC/1120/2013. Au fond : Annule la décision entreprise. Renvoie la cause au Vice-président du Tribunal civil pour nouvelle décision au sens des considérants. Déboute A______ de toutes autres conclusions. Dit qu'il n'est pas perçu de frais judiciaires. Notifie une copie de la présente décision à A______ en l'Étude de M e Flore PRIMAULT (art. 137 CPC). Siégeant : Madame Marguerite JACOT-DES-COMBES, vice-présidente;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