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AC/1098/2018 vom 6. April 2018</w:t>
      </w:r>
    </w:p>
    <w:p>
      <w:r>
        <w:t>GE Cour de justice, 2018-04-06, FR</w:t>
      </w:r>
    </w:p>
    <w:p>
      <w:r>
        <w:rPr>
          <w:b/>
        </w:rPr>
        <w:t xml:space="preserve">Quelle: </w:t>
      </w:r>
      <w:r>
        <w:t>https://mcp.opencaselaw.ch/entscheid/ge_gerichte_AC_1098_2018</w:t>
      </w:r>
    </w:p>
    <w:p>
      <w:r>
        <w:t>FR: GE_GERICHTE AC/1098/2018 du 6 avril 2018</w:t>
      </w:r>
    </w:p>
    <w:p>
      <w:r>
        <w:t>IT: GE_GERICHTE AC/1098/2018 del 6 aprile 2018</w:t>
      </w:r>
    </w:p>
    <w:p>
      <w:pPr>
        <w:pStyle w:val="Heading2"/>
      </w:pPr>
      <w:r>
        <w:t>Regeste</w:t>
      </w:r>
    </w:p>
    <w:p>
      <w:r>
        <w:t>ASSISTANCE JUDICIAIRE ; DÉNUEMENT ; CONCUBINAGE</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La recourante reproche au Tribunal d'avoir tenu compte des revenus de son concubin dans le cadre de l'examen de l'indigence ainsi que de ne pas avoir retenu, dans le calcul de ses charges mensuelles, les frais de crèche à hauteur de 407 fr. et les frais de parking à hauteur de 150 fr. 80.![endif]&gt;![if&gt;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124 I 1 consid. 2a).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 mars 2015 consid. 3.1). Le devoir d'aider son partenaire de vie, partie à une procédure judiciaire, par le versement d'une avance de frais judiciaires est de nature conjugale, de sorte qu'il ne concerne que les époux, non les concubins. Cependant, le fait de l'existence d'un ménage commun peut être pris en considération dans le calcul des besoins du concubin partie à un procès (ATF 142 III 36 consid. 2.3). La jurisprudence considère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du Tribunal fédéral 8C_1008/2012 du 24 mai 2013 consid. 3.3.2 et 5D_121/2009 du 30 novembre 2009 consid. 7.1).</w:t>
      </w:r>
    </w:p>
    <w:p>
      <w:r>
        <w:rPr>
          <w:b/>
        </w:rPr>
        <w:t>E. 3.2</w:t>
      </w:r>
    </w:p>
    <w:p>
      <w:r>
        <w:t>En l'espèce, la recourante et son compagnon vivent ensemble avec leur fille commune de 2 ans de sorte qu'ils forment une communauté familiale. C'est donc à juste titre que le premier juge a analysé la condition de l'indigence et tenant compte des revenus et des charges de l'ensemble du ménage. Les frais de crèche à hauteur de 407 fr. invoqués dans le recours doivent être écartés. La pièce produite par la recourante pour justifier ce montant ne figure en effet pas au dossier soumis au premier juge. Produite pour la première fois en seconde instance, elle est irrecevable (cf. supra ch. 2). Devant la première instance, la recourante avait produit une attestation de la crèche concernant les factures émises pour l'année 2017, selon laquelle le montant mensuel qui lui était facturé s'élevait à 382 fr. pour les mois de janvier à juin et à 645 fr. 15 pour le mois de juillet. Il n'y a donc pas lieu de retenir un montant supérieur à celui fixé par le premier juge, soit 384 fr. Les frais de parking invoqués par la recourante doivent également être écartés à défaut d'avoir été mentionnés devant l'autorité de première instance (cf. supra ch. 2). Par conséquent, avec des ressources mensuelles totales de 7'926 fr. 65 et des charges mensuelles admissibles totalisant 4'066 fr. 10, le ménage dispose encore d'un solde mensuel disponible de 3'860 fr. 55. C'est donc à juste titre que le premier juge a refusé d'octroyer l'assistance juridique à la recourante au motif qu'elle ne remplissait pas la condition d'indigence. Partant, le recours, infondé, sera rejeté.</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le 23 avril 2018 par A______ contre la décision rendue le 6 avril 2018 par le Vice-président du Tribunal civil dans la cause AC/1098/2018. Au fond : Le rejette. Déboute A______ de toutes autres conclusions. Dit qu'il n'est pas perçu de frais judiciaires pour le recours. Notifie une copie de la présente décision à A______ en l'étude de M e Laurent WINKELMANN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