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AC/1097/2011 vom 26. Juni 2015</w:t>
      </w:r>
    </w:p>
    <w:p>
      <w:r>
        <w:t>GE Cour de justice, 2015-06-26, FR</w:t>
      </w:r>
    </w:p>
    <w:p>
      <w:r>
        <w:rPr>
          <w:b/>
        </w:rPr>
        <w:t xml:space="preserve">Quelle: </w:t>
      </w:r>
      <w:r>
        <w:t>https://mcp.opencaselaw.ch/entscheid/ge_gerichte_AC_1097_2011</w:t>
      </w:r>
    </w:p>
    <w:p>
      <w:r>
        <w:t>FR: GE_GERICHTE AC/1097/2011 du 26 juin 2015</w:t>
      </w:r>
    </w:p>
    <w:p>
      <w:r>
        <w:t>IT: GE_GERICHTE AC/1097/2011 del 26 giugno 2015</w:t>
      </w:r>
    </w:p>
    <w:p>
      <w:pPr>
        <w:pStyle w:val="Heading2"/>
      </w:pPr>
      <w:r>
        <w:t>Regeste</w:t>
      </w:r>
    </w:p>
    <w:p>
      <w:r>
        <w:t>CHANCES DE SUCCÈS</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allégations de faits et les preuves nouvelles sont irrecevables dans le cadre d'une procédure de recours. D'après l'art. 327 al. 2 CPC, l'autorité de recours peut statuer sur pièces.![endif]&gt;![if&gt; En l'espèce, la recourante se contente de requérir la tenue d'une audience publique, sans toutefois indiquer de manière précise sur quels points son audition pourrait être utile à l'appréciation de sa cause ou propre à modifier l'appréciation des éléments figurant d'ores et déjà au dossier. A cet égard, il doit en particulier être rappelé que le pouvoir d'examen de la Cour est limité (cf. consid. 1.3. supra ) et que l'apport de faits nouveaux au dossier au stade du recours n'est pas possible. En conséquence, l'Autorité de céans statuera sur la base du dossier.</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Aux termes de l'art. 118 al. 1 CPC, l'assistance judiciaire comprend l'exonération d'avances et de sûretés (a.), l'exonération des frais judiciaires (b.), la commission d'office d'un conseil juridique par le tribunal lorsque la défense des droits du requérant l'exige, en particulier lorsque la partie adverse est assistée d'un avocat ; l'assistance d'un conseil juridique peut déjà être accordée pour la préparation du procès (c.). L'exonération des frais judiciaires a certes une importance moins directe, car à la différence de l'avance de frais et des sûretés, elle ne touche en général pas à la faculté d'agir en justice. Son importance doit néanmoins être soulignée, car sans un tel moratoire, la partie indigente se retrouve face à une menace d'endettement possiblement considérable, laquelle influencera en premier lieu la décision d'agir en justice et peut entraîner des inconvénients de procédure ultérieurs (art. 99 al. 1 let. c CPC) (Jent-Sorensen in Oberhammer/Domej/Haas (éd.), Kurzkommentar ZPO , 2 e éd. Bâle 2014, n. 5 ad art. 118 CPC).</w:t>
      </w:r>
    </w:p>
    <w:p>
      <w:r>
        <w:rPr>
          <w:b/>
        </w:rPr>
        <w:t>E. 3.2</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S'il s'agit d'une intervention particulièrement délicate quant à son exécution ou à ses conséquences, le patient a droit à une information claire et complète à ce sujet (ATF 133 III 121 consid. 4.1). Lors d'une intervention indiquée médicalement et comportant de nombreux risques, des dangers relativement secondaires et rares ne doivent pas nécessairement être communiqués au patient, car une surinformation conduit à la désinformation. En 1987, le Tribunal fédéral avait nié l'existence d'un devoir d'information sur les risques dont la fréquence statistique s'élevait jusqu'à 2.7 % (Manaï, Le devoir d'information du médecin en procès, in SJ 2000 II 351 et les références citées). C'est au médecin qu'il appartient d'établir qu'il a suffisamment renseigné le patient et obtenu le consentement éclairé de ce dernier préalablement à l'intervention. En l'absence de consentement éclairé, le praticien peut soulever le moyen du consentement hypothétique du patient. Il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En principe,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w:t>
      </w:r>
    </w:p>
    <w:p>
      <w:r>
        <w:rPr>
          <w:b/>
        </w:rPr>
        <w:t>E. 3.3</w:t>
      </w:r>
    </w:p>
    <w:p>
      <w:r>
        <w:t>Dans son appel, la recourante formule certaines critiques relatives à son droit d'être entendue, lesquelles paraissent à première vue toutes infondées. Dans la mesure où la recourante a comparu en personne le 23 novembre 2011 et que son conseil a plaidé lors de l'audience du 1 er décembre 2014, son droit d'être entendue semble avoir été respecté, même si deux juges se sont succédé dans la procédure au fond (cf. notamment ATF 117 Ia 133 ). Par ailleurs, il ne paraît pas vraisemblable que l'audition d'un second spécialiste en gynécologie obstétrique puisse apporter des éléments pertinents pour l'issue du litige. Au surplus, même s'il peut prima facie sembler discutable que le juge ait décidé de limiter l'audition du Dr G______ sur certains points, la recourante n'expose ni quelles questions elle aurait souhaité lui poser dont les réponses ne ressortiraient pas déjà de son rapport écrit, ni dans quelle mesure ces points auraient été susceptibles de changer l'issue du litige. La recourante formule ensuite divers griefs en lien avec le rapport d'expertise. En l'espèce, ni la présentation du parcours du Dr B______ en préambule dudit rapport, ni le fait que l'expert ait établi son rapport sur la base de plusieurs entretiens avec le médecin et un seul entretien avec la recourante ne permettent, a priori , de considérer que l'expert n'aurait pas rempli sa mission de manière impartiale. Par ailleurs, le médecin privé mandaté par la recourante a simplement émis des doutes sur le choix de suturer la perforation de l'intestin, tandis que l'expert était catégorique en affirmant qu'un tel acte aurait constitué une erreur médicale. En outre, le médecin et l'expert ne se contredisent ni sur l'estimation des risques de ce type de complication (moins de 1%), ni sur l'origine de la lésion liée au passage d'un instrument. Bien que le rapport d'expertise n'évoque pas le départ en vacances du Dr B______ le lendemain de la seconde intervention, cette question a été abordée lors de l'audition de l'expert, lequel a estimé qu'il était normal qu'un chirurgien prenne des vacances, à condition d'avoir un remplaçant clairement désigné, comme cela avait été le cas en l'occurrence. Le fait que ledit remplaçant soit à son tour parti en vacances six jours plus tard et remplacé par un autre médecin ne permet de prime abord pas de mettre en doute la qualité de la prise en charge de la patiente. Il semble donc irrelevant que l'expertise n'évoque pas ces changements successifs de médecins. Partant, il ne semble prima facie pas arbitraire de retenir que le rapport d'expertise n'est entaché d'aucun défaut reconnaissable qui le rendrait incompréhensible ou inutilisable par le juge. Compte tenu des résultats du rapport en question et des principes rappelés ci-dessus (notamment l'absence de devoir d'information à la charge du médecin lorsque le risque est inférieur à 2.7%), la recourante ne rend pas vraisemblable que le premier juge aurait erré en retenant qu'elle avait consenti de manière éclairée à l'ablation de sa vésicule biliaire. En tout état, au vu de son état de santé au mois de juillet 2009 (coliques biliaires depuis plusieurs mois, avec nausées et vomissements, symptômes qui se sont aggravés, découverte de calculs biliaires), il paraît a priori peu plausible que la recourante se serait trouvé dans un réel conflit quant à la décision à prendre si elle avait connu le risque inférieur à 1% d'une lésion à l'intestin. Au demeurant, la recourante ne semble faire valoir aucun motif personnel qui l'aurait conduite à refuser l'intervention proposée, étant relevé que le Dr G______ a affirmé que l'ablation de la vésicule biliaire était indiquée dans sa situation. Il paraît donc objectivement très probable qu'une personne sensée ne se serait pas opposée à l'opération même en ayant une information complète sur les risques de lésion à l'intestin. De prime abord, les conditions d'un consentement hypothétique semblent donc données. Pour le surplus, l'examen sommaire du dossier ne permet ni de retenir que la recourante serait vraisemblablement en mesure de démontrer que l'atteinte subie serait la conséquence d'une violation des règles de l'art – étant rappelé qu'une lésion à l'intestin est susceptible de survenir lors d'une cholécystectomie par laparoscopie même lorsque toutes les précautions ont été prises –, ni que sa prise en charge après l'intervention aurait été inadéquate. Enfin, au vu des conclusions du rapport d'expertise, les prétentions de la recourante envers la clinique paraissent également vouées à l'échec. En conséquence, c'est à bon droit que le Vice-président du Tribunal civil a considéré que les chances de succès de l'appel formé par la recourante étaient faibles.</w:t>
      </w:r>
    </w:p>
    <w:p>
      <w:r>
        <w:rPr>
          <w:b/>
        </w:rPr>
        <w:t>E. 3.4</w:t>
      </w:r>
    </w:p>
    <w:p>
      <w:r>
        <w:t>Malgré ce qui précède, le Vice-président du Tribunal civil a octroyé le bénéfice de l'assistance juridique à la recourante pour l'exonération de l'avance de frais d'appel. Or, une telle décision est contradictoire. Soit une cause présente des chances de succès, auquel cas l'assistance juridique doit être accordée, dans la mesure requise, pour l'ensemble de la procédure. Soit, tel n'est pas le cas, et l'aide étatique doit être refusée. Dès lors que l'appel de la recourante est dénué de chances de succès, c'est à tort que le bénéfice de l'assistance juridique lui a été octroyé. En vertu du principe de l'interdiction de la reformatio in pejus , l'assistance judiciaire limitée dont bénéficie la recourante ne sera toutefois pas retirée. Il y a lieu de relever que la critique selon laquelle la décision du Vice-président du Tribunal civil serait susceptible de remettre en question l'introduction de l'appel (au vu du risque financier encouru en cas de perte du procès au fond) est infondée, dans la mesure où l'appel en question a d'ores et déjà été interjeté et qu'il est peu probable qu'il sera retiré malgré l'issue de la présente procédure. Compte tenu de l'ensemble de ce qui précède, le recours sera rejeté et la décision entreprise sera confirmée.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26 juin 2015 par le Vice-président du Tribunal civil dans la cause AC/1097/2011. Au fond : Le rejette. Déboute A______ de toutes autres conclusions. Dit qu'il n'est pas perçu de frais judiciaires pour le recours, ni alloué de dépens. Notifie une copie de la présente décision à A______ en l'Étude de M e Thomas BARTH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