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AC/1072/2014 vom 23. April 2014</w:t>
      </w:r>
    </w:p>
    <w:p>
      <w:r>
        <w:t>GE Cour de justice, 2014-04-23, FR</w:t>
      </w:r>
    </w:p>
    <w:p>
      <w:r>
        <w:rPr>
          <w:b/>
        </w:rPr>
        <w:t xml:space="preserve">Quelle: </w:t>
      </w:r>
      <w:r>
        <w:t>https://mcp.opencaselaw.ch/entscheid/ge_gerichte_AC_1072_2014</w:t>
      </w:r>
    </w:p>
    <w:p>
      <w:r>
        <w:t>FR: GE_GERICHTE AC/1072/2014 du 23 avril 2014</w:t>
      </w:r>
    </w:p>
    <w:p>
      <w:r>
        <w:t>IT: GE_GERICHTE AC/1072/2014 del 23 aprile 2014</w:t>
      </w:r>
    </w:p>
    <w:p>
      <w:pPr>
        <w:pStyle w:val="Heading2"/>
      </w:pPr>
      <w:r>
        <w:t>Regeste</w:t>
      </w:r>
    </w:p>
    <w:p>
      <w:r>
        <w:t>DÉNUEMENT | CPC.117.A</w:t>
      </w:r>
    </w:p>
    <w:p>
      <w:pPr>
        <w:pStyle w:val="Heading2"/>
      </w:pPr>
      <w:r>
        <w:t>Erwägungen</w:t>
      </w:r>
    </w:p>
    <w:p>
      <w:r>
        <w:rPr>
          <w:b/>
        </w:rPr>
        <w:t>E. 5</w:t>
      </w:r>
    </w:p>
    <w:p>
      <w:r>
        <w:t>mai 2014, le délai de recours de 10 jours aurait commencé à courir le 6 mai 2014 pour arriver à échéance le 15 du même mois. Partant,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 3. 3.1. 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L'État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9C_701/2009 du 1 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4P_158/2002 du 16 août 2002 et les références citées). Cette réserve peut être aussi bien composée d'espèces, de biens mobiliers ou immobiliers que d'une assurance-vie ( DAAJ/14/2013 du 20 février 2013 ; Donzallaz, Loi sur le Tribunal fédéral : commentaire, Berne 2008, n. 1815 ad art. 64 LTF). Pour se déterminer sur la notion d'indigence, il convient d'apprécier l'ensemble des circonstances existant au moment du dépôt de la requête, qui comprennent notamment une estimation des frais de la procédure envisagée, la mise à contribution des ressources financières d'un plaideur s'évaluant en fonction de la procédure spécifique qu'il veut ou doit introduire, et non pas de manière abstraite (ATF 120 Ia 179 consid. 3a ; arrêt du Tribunal fédéral 4P.82/2002 du 25 avril 2002 consid. 2c). 3.2. En l'espèce, la décision entreprise ne comporte aucun élément de fait relatif aux revenus et aux charges de la recourante, seule sa fortune ayant été prise en considération. Or, conformément aux principes rappelés ci-dessus, l'indigence doit s'apprécier en fonction de l'ensemble des ressources de la personne requérant l'assistance juridique, ce d'autant plus que la fortune de la recourante entre dans la fourchette admise par le Tribunal fédéral au titre de réserve de secours pour une personne seule (alors que son ménage est composé de deux personnes). L'Autorité de première instance n'a pas pris en considération l'ensemble des circonstances déterminantes pour examiner la condition de l'indigence (notamment le solde mensuel disponible de la recourante, les frais prévisibles de la procédure envisagée, ainsi que la limite inférieure en dessous de laquelle la fortune de cette dernière ne pouvait pas être mise à contribution, au regard de sa situation concrète), de sorte que la décision entreprise viole le droit. Au vu de ce qui précède, le recours est admis. Il s'ensuit que la décision entreprise est annulée et la cause renvoyée au premier juge pour qu'il établisse la situation financière de la recourante, notamment en vue d'examiner s'il peut raisonnablement être exigé d'elle qu'elle entame sa fortune mobilière, ou si celle-ci constitue une réserve de secours. En cas de réalisation de la condition de l'indigence, la nécessité d'être représentée par un avocat pour la procédure de mesures protectrices de l'union conjugale envisagée devra également être examinée. 4. Sauf exceptions non réalisées en l'espèce, il n'est pas perçu de frais judiciaires pour la procédure d'assistance juridique (art. 119 al. 6 CPC).![endif]&gt;![if&gt; * * * * * PAR CES MOTIFS, LE VICE-PRÉSIDENT DE LA COUR : À la forme : Déclare recevable le recours formé par A______ contre la décision rendue le 23 avril 2014 par le Vice-président du Tribunal civil dans la cause AC/1072/2014. Au fond : Admet le recours et annule la décision entreprise. Cela fait : Renvoie la cause au Vice-président du Tribunal civil pour instruction complémentaire et nouvelle décision au sens des considérants. Déboute A______ de toutes autres conclusions. Dit qu'il n'est pas perçu de frais judiciaires pour le recours. Notifie une copie de la présente décision à A______ en l'Étude de M e Vincent SPIRA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