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AC/1067/2012 vom 27. Mai 2015</w:t>
      </w:r>
    </w:p>
    <w:p>
      <w:r>
        <w:t>GE Cour de justice, 2015-05-27, FR</w:t>
      </w:r>
    </w:p>
    <w:p>
      <w:r>
        <w:rPr>
          <w:b/>
        </w:rPr>
        <w:t xml:space="preserve">Quelle: </w:t>
      </w:r>
      <w:r>
        <w:t>https://mcp.opencaselaw.ch/entscheid/ge_gerichte_AC_1067_2012</w:t>
      </w:r>
    </w:p>
    <w:p>
      <w:r>
        <w:t>FR: GE_GERICHTE AC/1067/2012 du 27 mai 2015</w:t>
      </w:r>
    </w:p>
    <w:p>
      <w:r>
        <w:t>IT: GE_GERICHTE AC/1067/2012 del 27 maggio 2015</w:t>
      </w:r>
    </w:p>
    <w:p>
      <w:pPr>
        <w:pStyle w:val="Heading2"/>
      </w:pPr>
      <w:r>
        <w:t>Regeste</w:t>
      </w:r>
    </w:p>
    <w:p>
      <w:r>
        <w:t>CHANCES DE SUCCÈS</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pièces nouvelles de la recourante ne seront pas prises en considération, étant précisé que, vue l'issue du recours, celles-ci n'étaient pas déterminantes.</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3.2</w:t>
      </w:r>
    </w:p>
    <w:p>
      <w:r>
        <w:t>En l'espèce, sur la base d'un examen sommaire, une violation du mandat par M e C______ est vraisemblable, dès lors que celui-ci n'a pas pris les conclusions adéquates en matière de prévoyance professionnelle. En effet, un cas de prévoyance étant survenu durant la procédure de divorce, il convenait de conclure au versement à la recourante d'une indemnité équitable au titre de la prévoyance professionnelle (art. 124 CC). En outre, les mesures utiles n'ont apparemment pas été prises pour assurer la protection de la part du prix de vente de la villa conjugale revenant à l'ex-époux de la recourante. Il apparaît en outre que la recourante a subi un dommage. La question de savoir s'il existe un lien de causalité naturelle et adéquate entre la violation contractuelle et le dommage est donc déterminante. Sur ce point, vu l'imbrication de divers faits et de plusieurs procédures, on ne peut exclure que plusieurs éléments aient participé à la survenance du dommage. Néanmoins, les conclusions erronées prises par l'avocat de la recourante en matière de prévoyance professionnelle et l'absence de mesures adéquates pour empêcher le versement à l'ex-époux de la recourante de sa part du prix de vente de la villa conjugale pourraient avoir été déterminantes dans la survenance du dommage. Il n'y a dès lors pas lieu de nier, sans permettre un examen plus approfondi par le juge du fond, l'existence d'un lien de causalité naturelle et adéquate entre la violation du contrat et le dommage. En outre, dans le cadre de l'examen sommaire auquel procède l'autorité de céans, l'art. 44 CO ne semble pas devoir s'appliquer à la recourante car il ne sied pas, a priori, d'attendre de la recourante de prendre des mesures pour réparer les conséquences des actes d'un professionnel du droit, qui était précisément censé défendre ses intérêts, notamment en lui évitant de subir un dommage. Compte tenu de ce qui précède, les chances de la recourante d'obtenir gain de cause devant le TPI n'apparaissent pas notablement plus faibles que celles de succomber. Par conséquent, la décision querellée sera annulée et la cause sera renvoyée à l'autorité de première instance pour examiner la situation financière de la recourante et rendre une nouvelle décision.</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27 mai 2015 par le Vice-président du Tribunal civil dans la cause AC/1067/2012. Au fond : Annule cette décision. Renvoie la cause à l'autorité de première instance pour nouvelle décision au sens des considérants. Déboute A______ de toutes autres conclusions. Dit qu'il n'est pas perçu de frais judiciaires pour le recours. Notifie une copie de la présente décision à A______ en l'Étude de M e Pierre BAYENET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