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AC/1050/2021 vom 13. Januar 2025</w:t>
      </w:r>
    </w:p>
    <w:p>
      <w:r>
        <w:t>GE Cour de justice, 2025-01-13, FR</w:t>
      </w:r>
    </w:p>
    <w:p>
      <w:r>
        <w:rPr>
          <w:b/>
        </w:rPr>
        <w:t xml:space="preserve">Quelle: </w:t>
      </w:r>
      <w:r>
        <w:t>https://mcp.opencaselaw.ch/entscheid/ge_gerichte_AC_1050_2021</w:t>
      </w:r>
    </w:p>
    <w:p>
      <w:r>
        <w:t>FR: GE_GERICHTE AC/1050/2021 du 13 janvier 2025</w:t>
      </w:r>
    </w:p>
    <w:p>
      <w:r>
        <w:t>IT: GE_GERICHTE AC/1050/2021 del 13 gennaio 2025</w:t>
      </w:r>
    </w:p>
    <w:p>
      <w:pPr>
        <w:pStyle w:val="Heading2"/>
      </w:pPr>
      <w:r>
        <w:t>Erwägungen</w:t>
      </w:r>
    </w:p>
    <w:p>
      <w:r>
        <w:rPr>
          <w:b/>
        </w:rPr>
        <w:t>E. 1.1</w:t>
      </w:r>
    </w:p>
    <w:p>
      <w:r>
        <w:t>La décision entreprise est sujette à recours auprès de la présidence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Aux termes de l'art. 326 al. 1 CPC, les allégations de faits et les preuves nouvelles sont irrecevables dans le cadre d'un recours. Par conséquent, la pièce nouvellement produite ne sera pas prise en considération.</w:t>
      </w:r>
    </w:p>
    <w:p>
      <w:r>
        <w:rPr>
          <w:b/>
        </w:rPr>
        <w:t>E. 3.1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L'autorité chargée de statuer sur l'assistance judiciaire ne doit pas se substituer au juge du fond; elle doit seulement examiner s'il lui apparaît qu'il y a des chances que le juge adopte la position soutenue par le demandeur, chances qui doivent être plus ou moins équivalentes aux risques qu'il parvienne à la conclusion contraire (arrêt du Tribunal fédéral 5A_585/2023 du 15 janvier 2024 consid. 5.1).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3.2</w:t>
      </w:r>
    </w:p>
    <w:p>
      <w:r>
        <w:t>En l'espèce, la demande déposée par le recourant porte sur les droits parentaux sur ses enfants mineurs et sur l'entretien de ceux-ci. Tant le recourant que ses enfants sont domiciliés en France depuis 2021 et l'intégration des enfants dans ce pays n'est pas contestée. Pour sa part, la mère des enfants est domiciliée à Genève. Au vu de ce contexte et des règles rappelées ci-dessus, les juridictions françaises apparaissent compétentes pour ce qui concerne les droits parentaux sur les enfants. Leur compétence paraît également donnée pour les aspects financiers, puisque l'art. 5 par. 2 let. a de la Convention de Lugano permet d'attraire le débiteur d'une obligation alimentaire devant le tribunal du lieu où le créancier d'aliments a son domicile ou sa résidence habituelle. Cela étant, l'art. 9 CLaH96 donne la possibilité aux juridictions genevoises de demander aux juridictions françaises compétentes qu'elles abandonnent en leur faveur leur compétence pour prendre les mesures de protection qu'elles estiment nécessaires. Dans la mesure où les enfants ont la nationalité suisse, que leur mère réside à Genève et que les enfants y ont également été domiciliés, il ne semble a priori pas impossible que l'autorité d'appel estime, au vu du large pouvoir d'appréciation qui lui est conféré en la matière, que l'intérêt supérieur des enfants commande que les juridictions genevoises statuent sur les questions qui leur ont été soumises par le recourant et son ex-épouse. Par conséquent, l'appel formé par le recourant ne semble, à première vue, pas dépourvu de toute chance de succès. Par ailleurs, la condition d'indigence paraît remplie, dès lors que l'aide étatique a été octroyée au recourant en dernier lieu le 18 janvier 2024 et qu'il semble peu probable que sa situation financière se soit améliorée dans l'intervalle. La décision querellée sera donc annulée et le recourant mis au bénéfice de l'assistance juridique pour la procédure d'appel contre le jugement du Tribunal de première instance du 25 novembre 2024, avec effet au 8 janvier 2025, date de sa requête d'extension. Ledit octroi sera limité à 5 heures d'activité d'avocat, vu que la procédure d'appel est limitée à la question de la compétence des juridictions genevoises. Par ailleurs, à l'instar de ce qui a été prévu dans les précédentes décisions d'octroi de l'aide étatique, celui-ci sera subordonné au versement d'une participation mensuelle de 30 fr.</w:t>
      </w:r>
    </w:p>
    <w:p>
      <w:r>
        <w:rPr>
          <w:b/>
        </w:rPr>
        <w:t>E. 3.2.1</w:t>
      </w:r>
    </w:p>
    <w:p>
      <w:r>
        <w:t>En matière internationale, la compétence des autorités judiciaires suisses et le droit applicable sont régis par LDIP, sous réserve des traités internationaux (art. 1 al. 1 LDIP). En ce qui concerne les mesures à prendre pour régler les relations entre les parents et leurs enfants qui ne sont pas de nature alimentaire, la compétence du juge suisse saisi d’une demande en complément ou en modification du jugement de divorce est déterminée par la CLaH96, comme le rappelle l’article 64 al. 1, 2 ème phrase, renvoyant à l’article 85 al. 1 LDIP. La loi suisse est en principe applicable (art. 15 CLaH96). La CLaH96 constitue une lex specialis par rapport à l'art. 64 LDIP (ATF 142 III 56 consid. 2.1.2). Ayant pour objet les mesures tendant à la protection de la personne et des biens, cette convention régit notamment l'attribution de l'autorité parentale et le règlement de la garde et des relations personnelles (art. 3 let. a et b CLaH 96; ATF 142 III 56 consid. 2.1.2, 132 III 586 consid. 2.2.1). La Convention ne porte en revanche pas sur les prestations d'entretien (art. 4 let. e CLaH 96). Celles-ci sont régies par la Convention de Lugano du 30 octobre 2007 concernant la compétence judiciaire, la reconnaissance et l'exécution des décisions en matière civile et commerciale (CL; RS 0.275.12) ratifiée par l'Union européenne et la Suisse, qui l'emporte sur l'art. 64 al. 1 LDIP (Bucher, in Commentaire Romand, Loi sur le droit international privé - Convention de Lugano, 2011, n° 4, 10 et 27 ss ad art. 64 LDIP). L'art. 2 CL prévoit un for de principe dans l'Etat contractant du domicile du défendeur, lequel peut également être attrait dans un autre Etat, devant le tribunal du lieu où le créancier d'aliments à son domicile ou sa résidence habituelle (art. 5 al. 2 let. a CL). Le juge suisse saisi de l’action en complément ou en modification est en principe compétent si l’enfant réside habituellement sur le territoire suisse (art. 5 al. 1 CLaH96). Cette disposition consacre le principe de la compétence des autorités, judiciaires ou administratives, de l’Etat contractant de la résidence habituelle de l’enfant. S’agissant principalement de la détermination de la compétence des autorités protectrices, il est important de s’inspirer d’une méthode fonctionnelle et de localiser la résidence habituelle du mineur dans l’Etat où la protection est la mieux assurée en raison de la présence régulière du mineur. Dans la plupart des cas, la résidence habituelle de l’enfant peut être déterminée aisément en se référant au domicile ou à la résidence habituelle des personnes qui en assument la garde. Normalement, le lieu du cadre familial de l’enfant constitue le centre effectif de sa vie et de ses attaches (BUCHER, in Commentaire romand LDIP, n. 20 ad art. 85 LDIP). Les art. 8 et 9 CLaH96 introduisent dans la Convention un mécanisme réversible, inspiré des notions de forum non conveniens et de forum conveniens , lorsqu'il apparaît que l'intérêt supérieur de l'enfant commande que d'autres autorités que celles de l'État de sa résidence habituelle assurent sa protection. Ces deux dispositions sont parallèles : l'art. 8 permet aux autorités de la résidence habituelle de l'enfant de se dessaisir au profit des autorités d'un autre État dont elles se seront assurées qu'elles exerceront la compétence qui leur est confiée; l'art. 9 permet aux autorités d'un État autre que celui de la résidence habituelle de l'enfant de solliciter de l'autorité compétente de l'État de la résidence habituelle de l'enfant qu'elle leur abandonne sa compétence pour prendre les mesures de protection qu'elles estiment nécessaires. L'hypothèse prévue par l'art. 9 CLaH96 doit néanmoins rester une exception absolue, plus encore que dans le cas de l'art. 8 CLaH96; la disposition doit ainsi être interprétée de manière étroite, en ce sens que la compétence internationale des autorités selon l'art. 5 CLaH96 demeure généralement inchangée (arrêt du Tribunal fédéral 5A_679/2022 du 25 avril 2023 consid. 5.2.1). L'État contractant dont les autorités peuvent être saisies à la demande ou avec la permission de l'autorité normalement compétente doivent présenter un lien avec l'enfant  : il peut ainsi s'agir d'un État dont l'enfant possède la nationalité (art. 8 § 2 let. a CLaH96 ou d'un État avec lequel l'enfant présente un lien étroit (art. 8 § 2 let. d CLaH96), celui-ci pouvant être illustré par le fait que l'enfant y avait son ancienne résidence habituelle ou que des membres de sa famille proche (grands-parents, fratrie) y résident (arrêt précité 5A_679/2022 consid. 5.2.1.1). C'est l'intérêt supérieur de l'enfant qui doit nécessiter le transfert de compétence requis, à l'exclusion de considérations d'ordre procédural ou liées à la surcharge du tribunal. L'intérêt supérieur de l'enfant est soumis à un double examen, de l'autorité compétente d'une part, et de l'autorité requise (art. 8 CLaH96) ou qui requiert la compétence (art. 9 CLaH96) d'autre part, étant précisé que les États disposent néanmoins à cet égard d'une large marge d'appréciation (arrêt précité 5A_679/2022 consid. 5.2.1.2).</w:t>
      </w:r>
    </w:p>
    <w:p>
      <w:r>
        <w:rPr>
          <w:b/>
        </w:rPr>
        <w:t>E. 3.2.2</w:t>
      </w:r>
    </w:p>
    <w:p>
      <w:r>
        <w:t>La maxime d'office, qui fait partie de l'ordre public suisse, s'applique sans restriction pour régler toutes les questions relatives aux enfants, y compris l'entretien des enfants. Elle oblige le juge - même s'il n'en est pas requis - à régler d'office l'attribution des enfants, le droit de visite et l'entretien des enfants. Tous ces problèmes forment un tout et doivent être réglés de manière uniforme. Les tribunaux suisses doivent donc, dès qu'ils sont saisis de l'aménagement des droits parentaux, fixer d'office également l'entretien des enfants (ATF 126 III 298 consid. 2a/bb in SJ 2000 I 477).</w:t>
      </w:r>
    </w:p>
    <w:p>
      <w:r>
        <w:rPr>
          <w:b/>
        </w:rPr>
        <w:t>E. 4</w:t>
      </w:r>
    </w:p>
    <w:p>
      <w:r>
        <w:t>Sauf exceptions non réalisées en l'espèce, il n'est pas perçu de frais judiciaires pour la procédure d'assistance juridique (art. 119 al. 6 CPC). Compte tenu de l'issue du litige, l'État de Genève sera condamné à verser au recourant 400 fr. à titre de dépens (ATF 140 III 501 consid. 4). * * * * * PAR CES MOTIFS, LA VICE-PRÉSIDENTE DE LA COUR : A la forme : Déclare recevable le recours formé par A______ contre la décision rendue le 13 janvier 2025 par la vice-présidence du Tribunal civil dans la cause AC/1050/2021. Au fond : Annule la décision entreprise et cela fait, statuant à nouveau : Met A______ au bénéfice de l'assistance juridique pour la procédure d'appel contre le jugement JTPI/14901/2024 du 25 novembre 2024, avec effet au 8 janvier 2025. Nomme Me B______, avocat, à cette fin. Limite cet octroi à 5 heures d'activité d'avocat, audiences et forfaits courriers/téléphones en sus et dit que cet octroi est subordonné au paiement d'une contribution mensuelle de 30 fr. Déboute A______ de toutes autres conclusions. Dit qu'il n'est pas perçu de frais judiciaires pour le recours. Condamne l'Etat de Genève, soit pour lui les Services financiers du Pouvoir judiciaire, à verser la somme de 400 fr. à A______ à titre de dépens. Notifie une copie de la présente décision à A______ en l'Étude de Me B______ (art. 137 CPC). Siégeant : Madame Verena PEDRAZZINI RIZZI, vice-présidente; Madame Victoria PALAZZETTI,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