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AC/102/2017 vom 17. Januar 2017</w:t>
      </w:r>
    </w:p>
    <w:p>
      <w:r>
        <w:t>GE Cour de justice, 2017-01-17, FR</w:t>
      </w:r>
    </w:p>
    <w:p>
      <w:r>
        <w:rPr>
          <w:b/>
        </w:rPr>
        <w:t xml:space="preserve">Quelle: </w:t>
      </w:r>
      <w:r>
        <w:t>https://mcp.opencaselaw.ch/entscheid/ge_gerichte_AC_102_2017</w:t>
      </w:r>
    </w:p>
    <w:p>
      <w:r>
        <w:t>FR: GE_GERICHTE AC/102/2017 du 17 janvier 2017</w:t>
      </w:r>
    </w:p>
    <w:p>
      <w:r>
        <w:t>IT: GE_GERICHTE AC/102/2017 del 17 gennaio 2017</w:t>
      </w:r>
    </w:p>
    <w:p>
      <w:pPr>
        <w:pStyle w:val="Heading2"/>
      </w:pPr>
      <w:r>
        <w:t>Regeste</w:t>
      </w:r>
    </w:p>
    <w:p>
      <w:r>
        <w:t>DÉNUEMENT</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allégués de faits nouveaux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3.2</w:t>
      </w:r>
    </w:p>
    <w:p>
      <w:r>
        <w:t>En l'espèce, dans la mesure où il ressort des pièces produites que les prestations complémentaires perçues par la recourante s'élèvent mensuellement à 1'902 fr, c'est à juste titre que ce montant a été pris en compte pour déterminer la situation financière du ménage de la recourante. Par ailleurs, le fait que la recourante ne puisse s'acquitter des honoraires de son avocat que par mensualités ne permet pas de considérer que la condition d'indigence serait remplie. Le disponible du ménage de la recourante dépassant de près de 900 fr. le minimum vital élargi, c'est à bon droit que la Vice-présidente du Tribunal civil a refusé d'octroyer l'assistance juridique à cette dernière. Partant, le recours, infondé, sera rejeté, étant toutefois précisé que la recourante a la possibilité de déposer une nouvelle requête d'assistance juridique dans l'hypothèse où l'avance de frais requise pour la procédure envisagée serait plus élevée que le disponible mensuel de son ménage.</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17 janvier 2017 par le Vice-président du Tribunal civil dans la cause AC/102/2017.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