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AC/1028/2025 vom 16. Mai 2025</w:t>
      </w:r>
    </w:p>
    <w:p>
      <w:r>
        <w:t>GE Cour de justice, 2025-05-16, FR</w:t>
      </w:r>
    </w:p>
    <w:p>
      <w:r>
        <w:rPr>
          <w:b/>
        </w:rPr>
        <w:t xml:space="preserve">Quelle: </w:t>
      </w:r>
      <w:r>
        <w:t>https://mcp.opencaselaw.ch/entscheid/ge_gerichte_AC_1028_2025</w:t>
      </w:r>
    </w:p>
    <w:p>
      <w:r>
        <w:t>FR: GE_GERICHTE AC/1028/2025 du 16 mai 2025</w:t>
      </w:r>
    </w:p>
    <w:p>
      <w:r>
        <w:t>IT: GE_GERICHTE AC/1028/2025 del 16 maggio 2025</w:t>
      </w:r>
    </w:p>
    <w:p>
      <w:pPr>
        <w:pStyle w:val="Heading2"/>
      </w:pPr>
      <w:r>
        <w:t>Erwägungen</w:t>
      </w:r>
    </w:p>
    <w:p>
      <w:r>
        <w:rPr>
          <w:b/>
        </w:rPr>
        <w:t>E. 1</w:t>
      </w:r>
    </w:p>
    <w:p>
      <w:r>
        <w:t>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 projet de décision de l'Office AI du 24 août 2022 et les faits y relatifs ne seront pas pris en considération.</w:t>
      </w:r>
    </w:p>
    <w:p>
      <w:r>
        <w:rPr>
          <w:b/>
        </w:rPr>
        <w:t>E. 3</w:t>
      </w:r>
    </w:p>
    <w:p>
      <w:r>
        <w:t>La recourante conteste que son action en responsabilité à l'encontre de l'Hospice général soit dénuée de chances de succès et reproche à l'Autorité de première instance de s'être fondée sur la position de l'Hospice général, selon laquelle elle aurait été dans une démarche de recherche d'emploi. Or, à son sens, le dépôt d'une demande auprès de l'Office AI n'est pas exclusif d'une recherche d'emploi et se réfère aux art. 70 al. 2 let. b LPGA et 15 al. 3 OACI. De plus, la décision de refus ne pouvait pas être motivée par le fait que la recourante n'avait pas démontré son incapacité de travail durable, puisque la décision de l'Office AI avait retenu que le caractère tardif de la demande avait différé le début de son droit à la rente. Autrement dit, si cette demande avait été déposée en temps voulu, la recourante aurait bénéficié d'un rétroactif beaucoup plus important au titre des rentes AI et LPP. La responsabilité de l'Hospice général était engagée car il aurait dû informer la recourante correctement et, sans la représenter, l'inviter à déposer une demande à l'Office AI ou à procéder à une détection précoce, laquelle a pour but de prévenir l'invalidité au sens de l'art. 3b LAI. Or, l'Hospice général, en tant qu'organe d'exécution des lois cantonales relatives à l'aide sociale, est habilité à adresser une telle communication (art. 3b al. 2, let. j LAI). Enfin, l'action en responsabilité n'était pas prescrite, puisque le délai de trois ans courant à compter de la connaissance du dommage selon l'art. 60 CO, n'avait pas commencé à courir avant la décision de l'Office AI du 16 décembre 2022 et n'était, dès lors, pas échu.</w:t>
      </w:r>
    </w:p>
    <w:p>
      <w:r>
        <w:rPr>
          <w:b/>
        </w:rPr>
        <w:t>E. 3.1</w:t>
      </w:r>
    </w:p>
    <w:p>
      <w:r>
        <w:t>L'octroi de l'assistance juridique est soumis au respect de conditions légales :</w:t>
      </w:r>
    </w:p>
    <w:p>
      <w:r>
        <w:rPr>
          <w:b/>
        </w:rPr>
        <w:t>E. 3.1.1</w:t>
      </w:r>
    </w:p>
    <w:p>
      <w:r>
        <w:t>Selon l'art. 119 al. 2 CPC, la personne requérante justifie de sa situation de fortune et de ses revenus et expose l'affaire et les moyens de preuve qu'elle entend invoquer. Aux termes de l'art. 7 al. 1 RAJ, la personne requérante doit fournir les renseignements et les pièces nécessaires à l'appréciation des mérites de sa cause et de sa situation personnelle et justifier de sa situation financière. Selon la jurisprudence, la maxime inquisitoire applicable à la procédure portant sur l'octroi ou le refus de l'assistance judiciaire est limitée par le devoir de collaborer des parties. Ce devoir de collaborer ressort en particulier de l'art. 119 al. 2 CPC sus évoqué (arrêt du Tribunal fédéral 5A_836/2023 du 10 janvier 2024 consid. 3.2.2 et les références citées).</w:t>
      </w:r>
    </w:p>
    <w:p>
      <w:r>
        <w:rPr>
          <w:b/>
        </w:rPr>
        <w:t>E. 3.1.2</w:t>
      </w:r>
    </w:p>
    <w:p>
      <w:r>
        <w:t>De plus, selon l'art. 117 let. b CPC, la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133 III 614 consid. 5).</w:t>
      </w:r>
    </w:p>
    <w:p>
      <w:r>
        <w:rPr>
          <w:b/>
        </w:rPr>
        <w:t>E. 3.3</w:t>
      </w:r>
    </w:p>
    <w:p>
      <w:r>
        <w:t>Le statut de l'Hospice général est celui d'un établissement autonome de droit public doté de la personnalité juridique (art. 2 al. 1 de la loi sur l'Hospice général [LHG; J 4 07] du 17 mars 2006) Il est chargé de l'aide sociale, conformément à l'art. 214 al. 2 de la Constitution genevoise (art. 3 al. 1 LHG); il est l'organe d'exécution de la législation cantonale sur l'aide sociale, dans les limites définies par cette législation (al. 2) et en sa qualité d’organe chargé de l’aide sociale, il exécute les tâches qui incombent au canton notamment en application de la loi fédérale sur la compétence en matière d’assistance des personnes dans le besoin, du 24 juin 1977 (al. 3, let. a). La loi genevoise sur l'aide sociale individuelle du 22 mars 2007 (LASI; J 4 04), dans sa teneur au 16 décembre 2008, indique que l'Hospice général est son organe d'exécution (art. 3 al. 1 LASI), que les prestations de l'aide sociale individuelle comprennent un accompagnement social (art. 2 LASI, let a) et des prestations financières (let. b). L'accompagnement social comprend notamment la prévention, l'information sociale, l'orientation et le conseil (art. 5 al. 2 LASI) et implique la collaboration active du bénéficiaire. Ce dernier doit en particulier donner à l'Hospice général toute information et tout document utile à cet accompagnement (art. 7, 1 ère et 2 ème phr. LASI). Les prestations d'aide financière versées en vertu de la LASI sont subsidiaires à toute autre source de revenu, aux prestations découlant du droit de la famille (…), ainsi qu'à toute autre prestation à laquelle le bénéficiaire et les membres du groupe familial ont droit, en particulier aux prestations d'assurances sociales fédérales et cantonales, et aux prestations communales, à l'exception des prestations occasionnelles (art. 9 al. 1 LASI). Le bénéficiaire et les membres du groupe familial doivent faire valoir sans délai leurs droits auxquels l'aide financière est subsidiaire et doivent mettre tout en œuvre pour améliorer leur situation sociale et financière (al. 2). Exceptionnellement, les prestations d'aide financière peuvent être accordées notamment à titre d'avance sur prestations sociales ou d'assurances sociales (al. 3, let. a).</w:t>
      </w:r>
    </w:p>
    <w:p>
      <w:r>
        <w:rPr>
          <w:b/>
        </w:rPr>
        <w:t>E. 3.4</w:t>
      </w:r>
    </w:p>
    <w:p>
      <w:r>
        <w:t>La responsabilité est régie par la loi genevoise sur la responsabilité de l’Etat et des communes (LREC; A 2 40) du 24 février 1989. Selon l'art. 2 al. 1 LREC, l'Etat de Genève et les communes du canton sont tenus de réparer le dommage résultant pour des tiers d’actes illicites commis soit intentionnellement, soit par négligence ou imprudence par leurs fonctionnaires ou agents dans l’accomplissement de leur travail. Les règles générales du code civil suisse s'appliquent à titre de droit cantonal supplétif (art. 6 LREC). Selon l'art. 41 al. 1 CO, celui qui cause, d’une manière illicite, un dommage à autrui, soit intentionnellement, soit par négligence ou imprudence, est tenu de le réparer. Les conditions d'application de cette disposition impliquent la violation fautive d'une obligation (acte illicite), un dommage, une faute ou une négligence, même légère, ainsi qu'un lien de causalité naturelle et adéquate entre le comportement reproché et le dommage (ATF 141 V 93 consid. 3.1.2, 3.2.1 et 3.4; 139 V 176 consid. 8; arrêts du Tribunal fédéral C_242/2022, 9C_274/2022 du 29 avril 2025 consid. 8.2.1; 9C_496/2022 du 18 juin 2024 consid. 7.1; 4A_401/2023 du 5 mai 2024 consid. 2.2). L'illicéité implique une atteinte à un bien juridiquement protégé, qu'il s'agisse de l'atteinte à un droit subjectif absolu (illicéité par le résultat; Erfolgsunrecht ) ou de l'atteinte au patrimoine par la violation d'une norme de protection du bien juridiquement atteint (illicéité par le comportement; Verhaltensunrecht ).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auquel cas il faut qu'il existe, au moment déterminant, une norme juridique qui sanctionne explicitement l'omission commise ou qui impose de prendre en faveur du lésé la mesure omise (position de garant vis-à-vis du lésé) (ATF 148 II 73 consid. 3.2; arrêts du Tribunal fédéral C_242/2022, 9C_274/2022 du 29 avril 2025 consid. 8.2.1 et les références citées). En cas d'omission, l'examen du lien de causalité revient à se demander si le dommage serait également survenu si l'acte omis avait été accompli; il s'agit d'un lien de causalité hypothétique (ATF 148 II 73 consid. 3.3; 141 V 71 consid. 8.1; ATF 133 V 14 consid. 9.2; ATF 115 II 440 consid. 5a et la référence citée). Jusqu'au 31 décembre 2019, l'art. 60 aCO disposait que l'action en dommages-intérêts ou en paiement d'une somme d'argent à titre de réparation morale se prescrivait par un an à compter du jour où la partie lésée avait eu connaissance du dommage ainsi que de la personne qui en était l'auteur, et, dans tous les cas, par dix ans dès le jour où le fait dommageable s'était produit. Dans sa nouvelle teneur depuis le 1 er janvier 2020, l'art. 60 al. 1 CO dispose que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Selon l'art. 49 al. 1 Tit. fin. CC, lorsque le nouveau droit prévoit des délais de prescription plus longs que l’ancien droit, le nouveau droit s’applique dès lors que la prescription n’est pas échue en vertu de l’ancien droit. Selon la jurisprudence, lorsque l'ampleur du préjudice résulte d'une " situation qui évolue ", le délai de prescription ne court pas avant le terme de l'évolution (ATF 126 III 161 consid. 3c). Tel est le cas lorsqu'un préjudice est causé par des comportements dommageables répétés ou s'inscrivant dans la durée (cf. ATF 146 III 14 consid. 6.1.2; cf. également ATF 126 III 161 consid. 3c; ATF 109 II 418 consid. 3). Autrement dit, en cas de comportements dommageables répétés ou s'inscrivant dans la durée, le délai de prescription absolu commence à courir à partir du dernier acte illicite (ATF 92 II 1 consid. 5b) ou au moment où la continuité de l'acte est rompue (ATF 148 II consid. 6.2.3 et les références citées).</w:t>
      </w:r>
    </w:p>
    <w:p>
      <w:r>
        <w:rPr>
          <w:b/>
        </w:rPr>
        <w:t>E. 3.5</w:t>
      </w:r>
    </w:p>
    <w:p>
      <w:r>
        <w:t>Pour sa part, la recourante se prévaut de dispositions légales, dont la teneur est la suivante : Selon l'art. 70 de la loi fédérale sur la partie générale du droit des assurances sociales (LPGA: 830.1), l’ayant droit peut demander la prise en charge provisoire de son cas lorsqu’un événement assuré lui donne droit à des prestations d’une assurance sociale mais qu’il y a doute sur le débiteur de ces prestations (al. 1). Sont tenues de prendre provisoirement le cas à leur charge : l’assurance-chômage, pour les prestations dont la prise en charge par l’assurance-chômage, l’assurance-maladie, l’assurance-accidents, l’assurance militaire ou l’AI est contestée (al. 2, let. b). Selon l'art. 15 al. 3 de l'ordonnance sur l'assurance-chômage obligatoire et l'indemnité en cas d'insolvabilité (837.02; OACI),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Selon l'art. 3a bis LAI, entré en vigueur le 1 er janvier 2022 (RO 2021 705; FF 2017 2363), la détection précoce a pour but de prévenir l’invalidité (art. 8 LPGA) (al. 1). Selon l'art. 3b al. 1 LAI, le cas d’un assuré est communiqué par écrit à l’office AI en vue d’une détection précoce, avec mention des données de l’assuré et de la personne ou de l’institution qui fait la communication. La communication peut être accompagnée d’un certificat médical d’incapacité de travail. Sont habilités à faire un telle communication notamment les organes d’exécution des lois cantonales relatives à l’aide sociale (al. 2, let. j).</w:t>
      </w:r>
    </w:p>
    <w:p>
      <w:r>
        <w:rPr>
          <w:b/>
        </w:rPr>
        <w:t>E. 3.6</w:t>
      </w:r>
    </w:p>
    <w:p>
      <w:r>
        <w:t>En l'espèce, la requête d'assistance juridique de la recourante est lacunaire, tant en raison d'allégués insuffisants et de moyens de preuve inexistants, que sur le plan de la motivation insuffisante de ses prétentions.</w:t>
      </w:r>
    </w:p>
    <w:p>
      <w:r>
        <w:rPr>
          <w:b/>
        </w:rPr>
        <w:t>E. 3.6.1</w:t>
      </w:r>
    </w:p>
    <w:p>
      <w:r>
        <w:t>Tout d'abord, la recourante n'a pas même mentionné en quoi consistait son atteinte à sa santé ayant entraîné un degré d'invalidité complet, ni s'il s'agissait d'une atteinte visible ou non, et n'a produit aucun moyen de preuve y relatif, dont la décision de l'Office AI du 16 décembre 2022 lui ayant accordé une rente entière d'invalidité. De plus, elle n'a pas expliqué comment elle avait pu s'adresser à l'Hospice général en 2010 en " ayant toujours fait état d'une capacité de travail " et d'" une démarche de recherche d'emploi ", alors qu'elle a affirmé être affectée d'une incapacité totale et durable de travail depuis 2008. A cet égard, les art. 70 al. 2 let. b LPGA et 15 al. 3 OACI qu'elle invoque sont dénués de pertinence car les affirmations de la recourante sont exclusives l'une de l'autre : soit elle pouvait exercer une activité lucrative, ce qui signifie qu'elle n'était pas en situation d'incapacité totale et durable de travail depuis 2008, soit elle subissait un tel état et devait expliquer pourquoi elle recherchait néanmoins un emploi et ne s'était pas ouverte de cette situation auprès de son assistant(e) sociale de l'Hospice général, afin de trouver des alternatives. S'il est vrai que l'accompagnement social par l'Hospice général comprend une prestation de conseil (art. 5 al. 2 LASI), celle-ci présuppose la collaboration active de la recourante et la communication de sa part de toute information et tout document utile à cet accompagnement, en application de l'art. 7, 1 ère et 2 ème phr. LASI. De même, la subsidiarité de l'aide financière lui imposait de faire valoir sans délai ses droits auprès de l'assurance-invalidité, en application de l'art. 9 al. 2 LASI. Or, il semble que la recourante n'ait jamais communiqué de documents relatifs à une incapacité de travail à son assistant(e) social(e), puisque cela ne ressort ni de ses allégués, ni de son dossier auprès de l'Hospice général. Elle n'explique donc pas comment l'Hospice général, dans ces conditions, aurait pu et dû déceler qu'elle était atteinte d'une incapacité totale de travail, ni quand il aurait dû s'en rendre en compte.</w:t>
      </w:r>
    </w:p>
    <w:p>
      <w:r>
        <w:rPr>
          <w:b/>
        </w:rPr>
        <w:t>E. 3.6.2</w:t>
      </w:r>
    </w:p>
    <w:p>
      <w:r>
        <w:t>S'agissant de l'illicéité selon l'art. 41 CO, applicable par renvoi de l'art. 6 LREC, la recourante devait se fonder sur une norme juridique qui imposait à l'Hospice général de prendre une mesure en sa faveur et qu'il aurait omise. A cet égard, elle se prévaut en vain de la détection précoce, selon les art. 3a bis et 3b al. 2 let. j. LAI, puisque cette mesure n'existait pas avant le 1 er janvier 2022, date de son entrée en vigueur. La recourante n'a pas identifié un(e) fonctionnaire ou un(e) agent(e) de l'Hospice général qu'elle tiendrait pour responsable et, a fortiori , n'a pas rendu sa faute vraisemblable. L'évaluation très succincte du dommage n'a notamment pas porté en déduction les prestations perçues de l'Hospice général, de sorte que celui-ci n'a pas été rendu suffisamment vraisemblable. La causalité hypothétique ne peut pas être examinée, faute d'éléments suffisants à cette fin. Enfin, le calcul de la prescription selon les délais relatifs et absolu de l'art. 60 CO, dans son ancienne ou sa nouvelle teneur, n'est pas possible, en raison de l'état de fait lacunaire. Il résulte de ce qui précède que c'est avec raison que la vice-présidence du Tribunal civil a rejeté la requête de la recourante du 16 avril 2025. Infondé, le recours sera, dès lors, rejeté.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28 mai 2025 par A______ contre la décision rendue le 16 mai 2025 par la vice-présidence du Tribunal civil dans la cause AC/1028/2025.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