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ACST/8/2024 vom 18. Juni 2024</w:t>
      </w:r>
    </w:p>
    <w:p>
      <w:r>
        <w:t>GE Cour de justice, 2024-06-18, FR</w:t>
      </w:r>
    </w:p>
    <w:p>
      <w:r>
        <w:rPr>
          <w:b/>
        </w:rPr>
        <w:t xml:space="preserve">Quelle: </w:t>
      </w:r>
      <w:r>
        <w:t>https://mcp.opencaselaw.ch/entscheid/ge_gerichte_ACST_8_2024</w:t>
      </w:r>
    </w:p>
    <w:p>
      <w:r>
        <w:t>FR: GE_GERICHTE ACST/8/2024 du 18 juin 2024</w:t>
      </w:r>
    </w:p>
    <w:p>
      <w:r>
        <w:t>IT: GE_GERICHTE ACST/8/2024 del 18 giugno 2024</w:t>
      </w:r>
    </w:p>
    <w:p>
      <w:pPr>
        <w:pStyle w:val="Heading2"/>
      </w:pPr>
      <w:r>
        <w:t>Erwägungen</w:t>
      </w:r>
    </w:p>
    <w:p>
      <w:r>
        <w:rPr>
          <w:b/>
        </w:rPr>
        <w:t>E. 1.1</w:t>
      </w:r>
    </w:p>
    <w:p>
      <w:r>
        <w:t>La chambre constitutionnelle est compétente pour connaître d'un recours interjeté, comme en l’espèce, contre un arrêté du Conseil d’État relatif à la validité d’une initiative populaire (art. 130B al. 1 let. c de la loi sur l’organisation judiciaire du 26 septembre 2010 - LOJ - E 2 05 ; ACST/3/2024 du 18 avril 2024 consid. 1.1).</w:t>
      </w:r>
    </w:p>
    <w:p>
      <w:r>
        <w:rPr>
          <w:b/>
        </w:rPr>
        <w:t>E. 1.2</w:t>
      </w:r>
    </w:p>
    <w:p>
      <w:r>
        <w:t>Le recours a été interjeté en temps utile, le délai légal ordinaire de 30 jours (art. 62 al. 1 let. a et d de la loi sur la procédure administrative du 12 septembre 1985 - LPA - E 5 10) s’appliquant en la matière, nonobstant le silence de la loi (ACST/3/2024 précité consid. 1.2). Il respecte en outre les conditions de forme et de contenu prévues aux art. 64 al. 1 et 65 al. 1 et 2 LPA.</w:t>
      </w:r>
    </w:p>
    <w:p>
      <w:r>
        <w:rPr>
          <w:b/>
        </w:rPr>
        <w:t>E. 2.1</w:t>
      </w:r>
    </w:p>
    <w:p>
      <w:r>
        <w:t>Le recours contre une décision relative à la validité d’une initiative rédigée de toutes pièces, comme l’IN 196,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147 I 206 consid. 2.5 ; arrêt du Tribunal fédéral 1C_297/2021 du 4 janvier 2022 consid. 1 ; ACST/3/2024 précité consid. 2).</w:t>
      </w:r>
    </w:p>
    <w:p>
      <w:r>
        <w:rPr>
          <w:b/>
        </w:rPr>
        <w:t>E. 2.2</w:t>
      </w:r>
    </w:p>
    <w:p>
      <w:r>
        <w:t>En l’occurrence, il n'est pas contesté que les personnes physiques recourantes sont citoyennes suisses et exercent leurs droits politiques dans le canton, de sorte qu'elles ont chacune la qualité pour recourir. Il en va de même de l'B______, parti politique, et du comité, qui s’est constitué pour le lancement de l’IN 196.</w:t>
      </w:r>
    </w:p>
    <w:p>
      <w:r>
        <w:t>Le recours est par conséquent recevable.</w:t>
      </w:r>
    </w:p>
    <w:p>
      <w:r>
        <w:rPr>
          <w:b/>
        </w:rPr>
        <w:t>E. 3</w:t>
      </w:r>
    </w:p>
    <w:p>
      <w:r>
        <w:t>Le recours porte sur la validité de l’IN 196, une initiative législative rédigée de toutes pièces, qui prévoit la gratuité des crèches pour les usagers et la mise en place du nombre de places nécessaires pour atteindre un taux d'offre d'accueil répondant à la demande. L’autorité intimée a entièrement annulé l’IN 196 en raison de la non-conformité au droit supérieur, en l’occurrence aux art. 200 et 202 Cst-GE, ce que les recourants contestent, étant précisé que l'autorité intimée a laissé indécise la question de la conformité au droit supérieur des art. 19 al. 4 et 42 al. 1 de l'IN 196.</w:t>
      </w:r>
    </w:p>
    <w:p>
      <w:r>
        <w:rPr>
          <w:b/>
        </w:rPr>
        <w:t>E. 4.1</w:t>
      </w:r>
    </w:p>
    <w:p>
      <w:r>
        <w:t>Les trois conditions de validité d’une initiative que prévoit l’art. 60 Cst-GE sont l’unité du genre, l’unité de la matière et la conformité au droit supérieur (ATF 143 I 129 consid. 2.1). S’y ajoutent, déduites de la liberté de vote garantie par les art. 34 al. 2 de la Constitution fédérale de la Confédération suisse du 18 avril 1999 (Cst. - RS 101) et 44 Cst-GE, l’exigence de clarté du texte de</w:t>
      </w:r>
    </w:p>
    <w:p>
      <w:r>
        <w:t>- 7/16 -</w:t>
      </w:r>
    </w:p>
    <w:p>
      <w:r>
        <w:t>A/4061/2023</w:t>
      </w:r>
    </w:p>
    <w:p>
      <w:r>
        <w:t>l’initiative et celle d’exécutabilité de l’initiative (ATF 133 I 110 consid. 8 ; arrêt du Tribunal fédéral 1C_608/2022 du 17 août 2023 consid. 2).</w:t>
      </w:r>
    </w:p>
    <w:p>
      <w:r>
        <w:rPr>
          <w:b/>
        </w:rPr>
        <w:t>E. 4.2</w:t>
      </w:r>
    </w:p>
    <w:p>
      <w:r>
        <w:t>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et les arrêts cités ; arrêt du Tribunal fédéral 1C_393/2022 du 31 mars 2023 consid. 2.1). Par ailleurs, conformément à l’art. 5 al. 4 Cst., la Confédération et les cantons doivent respecter le droit international. 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du texte et du sens que les signataires ont pu raisonnablement lui attribuer (ATF 147 I 183 consid. 6.2). Au surplus, une disposition ne doit pas être analysée séparément, mais comme la partie d’un tout ; cette interprétation systématique doit examiner non seulement l’emplacement formel de la disposition, mais également la cohérence matérielle des différentes dispositions (ATF 147 I 183 consid. 8.1 ; arrêt du Tribunal fédéral 1C_608/2022 précité consid. 2 et les références citées).</w:t>
      </w:r>
    </w:p>
    <w:p>
      <w:r>
        <w:rPr>
          <w:b/>
        </w:rPr>
        <w:t>E. 4.3</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147 I 183 consid. 6.2 ; arrêt du Tribunal fédéral 1C_608/2022 précité consid. 5.1).</w:t>
      </w:r>
    </w:p>
    <w:p>
      <w:r>
        <w:t>Cela étant, la marge d’appréciation de l’autorité de contrôle est évidemment plus grande lorsqu’elle examine une initiative non formulée que lorsqu’elle se trouve en présence d’une initiative rédigée de toutes pièces, sous la forme d’un acte</w:t>
      </w:r>
    </w:p>
    <w:p>
      <w:r>
        <w:t>- 8/16 -</w:t>
      </w:r>
    </w:p>
    <w:p>
      <w:r>
        <w:t>A/4061/2023</w:t>
      </w:r>
    </w:p>
    <w:p>
      <w:r>
        <w:t>normatif. Cependant, lorsque, de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149 I 182 consid. 3.3. ; 143 I 129 consid. 2.2).</w:t>
      </w:r>
    </w:p>
    <w:p>
      <w:r>
        <w:rPr>
          <w:b/>
        </w:rPr>
        <w:t>E. 5</w:t>
      </w:r>
    </w:p>
    <w:p>
      <w:r>
        <w:t>novembre 2017 (RS 0.814.012), disposition de nature programmatique qui nécessitait une concrétisation légale. Les recourants ne démontraient pas en quoi la gratuité des transports publics serait plus favorable que la participation des usagers aux coûts pour contenir le réchauffement climatique et atteindre la neutralité carbone d'ici à 2050 (ATF 149 I 182 consid. 3.3.3). La gratuité des transports publics se heurtait par conséquent au droit supérieur (ATF 149 I 182 consid. 3.5).</w:t>
      </w:r>
    </w:p>
    <w:p>
      <w:r>
        <w:rPr>
          <w:b/>
        </w:rPr>
        <w:t>E. 5.1</w:t>
      </w:r>
    </w:p>
    <w:p>
      <w:r>
        <w:t>L’interprétation d’une norme constitutionnelle suit en règle générale les principes développés en matière d’interprétation de la loi. Des particularités propres aux normes de niveau constitutionnel doivent cependant être prises en compte : il en va en particulier du caractère largement abstrait de telles normes qui fixent souvent des principes et ne comportent qu'une faible densité normative. Dans ce contexte, tant que le constituant n'a pas accordé à certaines normes un caractère prépondérant par rapport à d'autres, il faut – pour les interpréter les unes avec les autres – partir du principe qu'elles sont toutes de rang égal (ATF 139 I 16 consid. 4.2.1). L'interprétation doit tendre à une concordance de l'ensemble des normes constitutionnelles, ce que le Tribunal fédéral a qualifié d'interprétation « harmonisante » (ATF 149 I 182 consid. 3.1 et les références citées). Dès lors, le simple fait qu'une disposition constitutionnelle soit plus récente qu'une autre n'implique pas nécessairement qu'elle prévale sur des normes plus anciennes ; une interprétation qui reposerait sur un examen isolé et ponctuel de la disposition en cause n'a pas lieu d'être (ATF 139 I 16 consid. 4.2.1 et 4.2.2). Sous réserve de ce qui précède, la Constitution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 182 consid. 3.1 ; 144 V 313 consid. 6.1). Récemment, le Tribunal fédéral a confirmé la non-conformité au droit supérieur d'une initiative cantonale constitutionnelle visant à introduire la gratuité des transports publics dans le canton de Fribourg. Après avoir procédé à une interprétation littérale, historique, systématique et téléologique de l'art. 81a al. 2 Cst., le Tribunal fédéral a constaté que l'initiative concernée était contraire à cet article (ATF 149 I 182 consid. 3.2). Dans le cadre d'une interprétation harmonisante, le Tribunal fédéral a ensuite constaté que le principe de développement durable, consacré à l'art. 73 Cst. n'avait pas la densité normative que revêtait l'art. 81a al. 2 Cst. Il s'agissait d'un concept essentiellement programmatique, qui n'entrait pas nécessairement en conflit avec l'interdiction de</w:t>
      </w:r>
    </w:p>
    <w:p>
      <w:r>
        <w:t>- 9/16 -</w:t>
      </w:r>
    </w:p>
    <w:p>
      <w:r>
        <w:t>A/4061/2023</w:t>
      </w:r>
    </w:p>
    <w:p>
      <w:r>
        <w:t>la gratuité des transports publics. Les recourants ne démontraient pas en quoi le fait de demander à certains utilisateurs de participer de manière appropriée serait contraire au développement durable (ATF 149 I 182 consid. 3.3.2). Les recourants ne pouvaient rien tirer non plus de l'art. 2 ch. 1 let. a de l'Accord de Paris (Accord sur le climat) conclu le 12 décembre 2015 et entré en vigueur pour la Suisse le</w:t>
      </w:r>
    </w:p>
    <w:p>
      <w:r>
        <w:rPr>
          <w:b/>
        </w:rPr>
        <w:t>E. 5.2</w:t>
      </w:r>
    </w:p>
    <w:p>
      <w:r>
        <w:t>La section 10 du titre III (tâches et finances publiques) de la Cst-GE, adoptée en même temps que la Cst-GE en 2012 (entrée en vigueur le 1er janvier 2013), porte sur l'accueil préscolaire et parascolaire et comprend les art. 200 à 204. L’offre de places d’accueil de jour pour les enfants en âge préscolaire est adaptée aux besoins (art. 200 Cst-GE). Le canton et les communes organisent l’accueil préscolaire (art. 201 al. 1 Cst-GE). Ils évaluent les besoins, planifient, coordonnent et favorisent la création de places d’accueil (art. 201 al. 2 Cst-GE). Le canton est responsable de la surveillance des lieux d’accueil de jour (art. 201 al. 3 Cst-GE). Les communes ou groupements de communes financent la construction et l’entretien des structures d’accueil de jour (art. 202 al. 1 Cst-GE). Le canton et les communes ou groupements de communes en financent l’exploitation après déduction de la participation des parents et d’éventuelles autres recettes (art. 202 al. 2 Cst-GE). Le canton et les communes encouragent la création et l’exploitation de structures d’accueil de jour privées, en particulier les crèches d’entreprise (art. 203 al. 1 Cst-GE). Ils favorisent le développement du partenariat entre acteurs publics et privés (art. 203 al. 2 Cst-GE).</w:t>
      </w:r>
    </w:p>
    <w:p>
      <w:r>
        <w:rPr>
          <w:b/>
        </w:rPr>
        <w:t>E. 5.3</w:t>
      </w:r>
    </w:p>
    <w:p>
      <w:r>
        <w:t>Les art. 200 et 202 al. 2 Cst-GE proviennent de l'art. 160G de l'ancienne Constitution de la République et canton de Genève du 28 mai 1847 (aCst-GE), lequel prévoyait notamment que l'offre de places d'accueil de jour pour les enfants en âge préscolaire était adaptée aux besoins (al. 1) et que l'État et les communes ou groupements de communes finançaient l'exploitation des structures d'accueil de jour après déduction de la participation des parents et d'éventuelles autres recettes (art. 160G al. 6 aCst-GE). Cette disposition avait été adoptée par le Grand Conseil puis le peuple le 17 juin 2012 dans le cadre d'un contreprojet à l'initiative constitutionnelle cantonale 143 « Pour une véritable politique d'accueil de la petite enfance » (ci-après : IN 143), le projet de loi (ci-après : PL) 10'895. L'IN 143 prévoyait notamment que chaque enfant en âge préscolaire avait droit à une place d'accueil de jour. Subsidiairement à la famille, l'État et les communes</w:t>
      </w:r>
    </w:p>
    <w:p>
      <w:r>
        <w:t>- 10/16 -</w:t>
      </w:r>
    </w:p>
    <w:p>
      <w:r>
        <w:t>A/4061/2023</w:t>
      </w:r>
    </w:p>
    <w:p>
      <w:r>
        <w:t>étaient tenus de réaliser ce droit dans le respect du choix du mode de garde voulu par les parents (art. 160G al. 1 tel que proposé par l'IN 143). L'IN 143 prévoyait également que les communes ou groupements de communes assuraient le financement après déduction de la participation des parents et d'éventuelles autres recettes (art. 160G al. 3 let. B tel que prévu par l'IN 143). L'IN 143 créait donc un droit à une place d'accueil de jour et l'obligation des communes de répondre aux besoins des familles de manière adéquate (MGC 2008-2009 XI A). Selon le rapport de la majorité relatif au PL 10'895, la formulation de l'art. 160G al. 1 IN 143, qui ouvrait un droit constitutionnel très large était, de l'aveu même des initiants, « un principe à atteindre, sans permettre la constitution formelle d'une voie de recours à l'encontre d'un défaut de couverture de ces besoins ». Le texte de l'art. 160G al. 1 du contreprojet reprenait le principe énoncé dans l'ancienne loi sur les structures d'accueil de la petite enfance et sur l'accueil familial de jour du 14 novembre 2003 (aLSAPE), dans sa forme d'origine de novembre 2003 (« adapter l'offre de places d'accueil »). Il renforçait ce principe en précisant que l'offre de places était adaptée aux besoins, formulation qui n'existait pas dans l'aLSAPE, laquelle faisait référence à la demande. Faire référence au besoin, plutôt qu'à la demande, n'était pas qu'une simple coquetterie rhétorique. La demande se rapportait au vœu exprimé par les familles de placer leur(s) enfant(s) dans un lieu d'accueil. Le besoin impliquait une nécessité, qui pouvait être plus ou moins impérieuse, mais qui pouvait être l'objet d'un examen. Les mêmes remarques pouvaient être faites entre un droit pour chaque enfant d'avoir une place d'accueil de jour, formulation de l'IN 143 qui n'ouvrait aucune possibilité à l'examen du besoin, et la formulation retenue dans le contreprojet (MGC 2011-2012 III A). À teneur des travaux préparatoires du PL 10'895, l'art. 160G al. 6 tel que prévu par l'IN 143 proposait un financement à la seule charge des communes, non seulement en matière d'infrastructure mais également en matière d'exploitation (déduction faite de la participation des parents et d'éventuelles autres recettes, ce qui n'était contesté par personne). Le contreprojet se devait de ne pas mettre obligatoirement toute la charge financière sur les communes. Les dispositions de la loi d'application devraient fixer les mécanismes de financement afin de les rendre supportables tant pour les communes que pour l'État. Il en allait de la réussite et de la concrétisation d'une véritable politique de la petite enfance, où l'offre de places d'accueil serait suffisante pour répondre aux besoins (MGC 2011-2012 III A). La formulation « après déduction de la participation des parents et d’éventuelles autres recettes » provient de l'aLSAPE. L'aLSAPE avait notamment pour but de régler la répartition du financement entre le canton, les communes et les parents (art. 1 let. c). Elle prévoyait que le financement était assuré par les communes après déduction de la participation des parents, des subventions cantonales</w:t>
      </w:r>
    </w:p>
    <w:p>
      <w:r>
        <w:t>- 11/16 -</w:t>
      </w:r>
    </w:p>
    <w:p>
      <w:r>
        <w:t>A/4061/2023</w:t>
      </w:r>
    </w:p>
    <w:p>
      <w:r>
        <w:t>(jusqu'au 11 février 2008, supprimées par la loi 10'068) et d’éventuelles autres recettes (art. 4 al. 2 aLSAPE) et que la participation financière des parents, pour la garde dans les crèches, était fixée en fonction de leur capacité économique (art. 6 al. 1 aLSAPE). Ces dispositions de l'aLSAPE avaient cette teneur avant l'adoption de l'art. 160G aCst-GE et ont gardé la même teneur jusqu'à l'abrogation de l'aLSAPE lors de l'entrée en vigueur, le 1er janvier 2020, de la loi sur l'accueil préscolaire du 12 septembre 2019 (LAPr - J 6 28).</w:t>
      </w:r>
    </w:p>
    <w:p>
      <w:r>
        <w:rPr>
          <w:b/>
        </w:rPr>
        <w:t>E. 6.1</w:t>
      </w:r>
    </w:p>
    <w:p>
      <w:r>
        <w:t>En l'espèce, le Conseil d'État a abouti à la conclusion que l'IN 196, en proposant un art. 6 al. 2 LAPr prévoyant que les communes mettaient à disposition le nombre de places nécessaires pour atteindre un taux d'offre répondant à la demande, était contraire à l'art. 200 Cst-GE. Les recourants contestent cette conclusion, affirmant que l'IN 196 serait une simple consécration législative de l'art. 200 Cst-GE, en précisant que les besoins doivent être une offre répondant à la demande. L'art. 200 Cst-GE prévoit que l'offre de places d'accueil est adaptée aux besoins, tandis que l'initiative prévoit que l'offre doit répondre à la demande. Or, contrairement à ce qu'affirment les recourants, les besoins et la demande sont deux notions distinctes, qui ne se recoupent pas, la seconde ne pouvant simplement préciser la première. En outre, la notion de besoin ne figure pas uniquement à l'art. 200 Cst-GE mais est reprise à l'art. 201 al. 2 Cst-GE, de sorte qu'elle s'inscrit dans le système voulu par le constituant et le peuple. Par ailleurs, les travaux préparatoires de l'art. 160G aCst-GE, dont l'art. 200 Cst-GE est une reprise de l'al. 1, indiquent expressément qu'ont été écartés le principe d'un droit à une place d'accueil, comme le proposait l'IN 143, ainsi que la notion de demande, figurant dans l'aLSAPE, au profit de la notion de besoin, qui impliquait une nécessité. Par conséquent, les interprétations littérale, systématique, historique et téléologique de l'art. 200 Cst-GE indiquent toutes que l'IN 196, en prévoyant la mise à disposition du nombre de places nécessaire pour atteindre un taux d'offre d'accueil répondant à la demande, se heurte à cette disposition constitutionnelle et est dès lors contraire au droit supérieur. L'argumentation des recourants selon laquelle un canton n'aurait pas besoin de base constitutionnelle pour étendre ses prestations ne change rien à la conclusion qui précède, puisque ce n'est pas ici la question de la répartition des compétences entre les cantons et la Confédération qui est en jeu mais celle de la conformité d'une initiative législative cantonale à la Constitution cantonale. Par ailleurs, la densité normative de l'art. 200 Cst-GE n'est pas non plus pertinente, étant donné qu'il n'y a pas lieu à une interprétation « harmonisante ». En effet, aucun problème de concordance entre dispositions constitutionnelles ne se pose.</w:t>
      </w:r>
    </w:p>
    <w:p>
      <w:r>
        <w:t>- 12/16 -</w:t>
      </w:r>
    </w:p>
    <w:p>
      <w:r>
        <w:t>A/4061/2023</w:t>
      </w:r>
    </w:p>
    <w:p>
      <w:r>
        <w:t>L'art. 6 al. 2 LAPr tel que prévu par l'IN 196 est partant contraire au droit supérieur. Le grief sera écarté.</w:t>
      </w:r>
    </w:p>
    <w:p>
      <w:r>
        <w:rPr>
          <w:b/>
        </w:rPr>
        <w:t>E. 6.2</w:t>
      </w:r>
    </w:p>
    <w:p>
      <w:r>
        <w:t>Le Conseil d'État a également retenu que la suppression du financement des parents pour l'accueil préscolaire, par l'abrogation de l'actuel art. 20 LAPr et la modification des art. 2 let. d et 42 al. 2 LAPr proposées par l'IN 196, était contraire à l'art. 202 al. 2 Cst-GE, ce que contestent les recourants. Le texte de l'art. 202 al. 2 Cst-GE prévoit expressément une participation des parents, déduite, de même que d'éventuelles autres recettes, du financement dû par les collectivités publiques. La participation des parents a ainsi été prévue spécifiquement, sans être englobée dans les autres recettes, et, contrairement à celles-ci, n'a pas été assortie d'une éventualité. L'interprétation littérale indique donc que la participation des parents a été envisagée comme l'une des sources de financement de l'exploitation des structures d'accueil de jour et qu'elle ne peut pas être nulle. Contrairement à ce qu'affirment les recourants, le fait que le texte de la disposition constitutionnelle ne mentionne pas expressément le caractère obligatoire de la participation des parents ne change rien à cette interprétation. Par ailleurs, l'art. 202 al. 2 Cst-GE est une reprise de l'art. 160G al. 6 aCst-GE, adopté dans le cadre d'un contreprojet, le PL 10'895, contre une initiative qui proposait la même disposition (art. 160G al. 3 let. B tel que proposé par l'IN 143). La question spécifique de la participation des parents n'a pas fait l'objet de débats parlementaires, les travaux préparatoires mentionnant simplement que la déduction de la participation des parents et d'éventuelles autres recettes n'était contestée par personne. La participation des parents était donc acquise et non remise en cause. En définitive, il apparaît qu'en la matière, le constituant a voulu reprendre, au niveau constitutionnel, le système préexistant, soit celui de l'aLSAPE, qui prévoyait expressément par le biais de trois dispositions que les parents faisaient partie des entités participant au financement, au même titre que les collectivités publiques, et que leur participation était fixée en fonction de leur capacité économique (art. 1 let. c, 4 al. 2 et 6 al. 1 aLSAPE). L'interprétation historique confirme donc que la participation des parents doit faire partie du financement des structures d'accueil. En ce qui concerne l'interprétation systématique, comme vu précédemment, le système de financement de l'aLSAPE, comprenant une participation des parents, a été repris par le constituant et le peuple lors de l'adoption de l'art. 160G aCst. Les dispositions de ladite loi n'ont ensuite pas été modifiées lors de l'adoption de la</w:t>
      </w:r>
    </w:p>
    <w:p>
      <w:r>
        <w:t>- 13/16 -</w:t>
      </w:r>
    </w:p>
    <w:p>
      <w:r>
        <w:t>A/4061/2023</w:t>
      </w:r>
    </w:p>
    <w:p>
      <w:r>
        <w:t>Cst-GE, qui a repris le système de l'art. 160G aCst., puis ont été en substance reprises lors de l'adoption de la LAPr (art. 2 let. d, 8 al. 2 et 20). Le système en vigueur et intégré dans la Cst-GE comprend donc une participation des parents au regard de l'interprétation systématique – couplée avec l'interprétation historique – également. À cet égard, il ne peut rien être déduit du fait que la participation des parents ne soit prévue qu'en fin d'art. 202 al. 2 Cst-GE, pas plus que de la formulation – « après déduction de la participation des parents » et non « les parents participent » –, ces éléments découlant justement de la reprise au niveau constitutionnel du système existant, la formulation ayant également été reprise. Les recourants tiennent encore une argumentation quant à la densité normative de l'art. 202 al. 2 Cst-GE, qui serait insuffisante. Cependant, seule se pose en l'espèce la question de l'interprétation de l'art. 202 al. 2 Cst-GE, laquelle aboutit à une conclusion claire, et aucune question de coordination de cette norme constitutionnelle avec une autre norme du même rang ou de rang supérieur ne se pose, sans qu'il n'y ait donc besoin de recourir à une interprétation « harmonisante ». À cet égard, le cas présent est distinct du cas jurisprudentiel auquel se réfèrent les recourants. Dans cette dernière affaire, le Tribunal fédéral a dû examiner la coordination entre plusieurs dispositions constitutionnelles, voire conventionnelles, soit, d'une part, celle sur la participation des usagers aux coûts des transports publics (art. 81a al. 2 Cst.) et, d'autre part, celle sur le développement durable (art. 73 Cst.) ainsi que l'art. 2 ch. 1 let. a de l'Accord de Paris. C'est dans ce cadre qu'il a examiné la question de la densité normative et du caractère programmatique des normes (arrêt du Tribunal fédéral 1C_393/2022 précité consid. 3.3.2 et 3.3.3). Il n'est en l'occurrence pas allégué que l'art. 202 al. 2 Cst-GE se heurterait à une autre disposition de la Constitution genevoise ou de rang supérieur, de sorte que la densité normative ne rentre pas en ligne de compte pour son interprétation. En définitive, la Constitution genevoise prévoit une participation des parents au financement de l'exploitation des structures d'accueil de jour, participation qui ne peut être ni nulle ni facultative. Le Conseil d'État était par conséquent fondé à constater que l'IN 196, en tant qu'elle prévoyait la gratuité, se heurtait à la Constitution cantonale et n'était pas conforme au droit supérieur.</w:t>
      </w:r>
    </w:p>
    <w:p>
      <w:r>
        <w:t>Le grief sera écarté.</w:t>
      </w:r>
    </w:p>
    <w:p>
      <w:r>
        <w:rPr>
          <w:b/>
        </w:rPr>
        <w:t>E. 7</w:t>
      </w:r>
    </w:p>
    <w:p>
      <w:r>
        <w:t>Reste à examiner si le Conseil d'État était fondé à déclarer l'IN 196 nulle dans sa totalité.</w:t>
      </w:r>
    </w:p>
    <w:p>
      <w:r>
        <w:t>- 14/16 -</w:t>
      </w:r>
    </w:p>
    <w:p>
      <w:r>
        <w:t>A/4061/2023</w:t>
      </w:r>
    </w:p>
    <w:p>
      <w:r>
        <w:rPr>
          <w:b/>
        </w:rPr>
        <w:t>E. 7.1</w:t>
      </w:r>
    </w:p>
    <w:p>
      <w:r>
        <w:t>Selon l’art. 60 al. 4 Cst-GE, l’initiative dont une partie n’est pas conforme au droit est déclarée partiellement nulle si la ou les parties qui subsistent sont en elles-mêmes valides, l’initiative étant, à défaut, déclarée nulle.</w:t>
      </w:r>
    </w:p>
    <w:p>
      <w:r>
        <w:rPr>
          <w:b/>
        </w:rPr>
        <w:t>E. 7.2</w:t>
      </w:r>
    </w:p>
    <w:p>
      <w:r>
        <w:t>L’invalidation partielle d’une initiative découle du principe selon lequel une initiative doit être interprétée dans le sens le plus favorable aux initiants, selon l’adage in dubio pro populo, et constitue une concrétisation, en matière de droits populaires, du principe général de la proportionnalité (art. 5 al. 2 et 36 al. 3 Cst.)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consid. 2.1 ; arrêt du Tribunal fédéral 1C_146/2020 du 7 août 2020 consid. 4.1).</w:t>
      </w:r>
    </w:p>
    <w:p>
      <w:r>
        <w:rPr>
          <w:b/>
        </w:rPr>
        <w:t>E. 7.3</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(ATF 125 I 21 consid. 7b).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(ATF 130 I 185 consid. 5 ; arrêt du Tribunal fédéral 1C_146/2020 précité consid. 4.1).</w:t>
      </w:r>
    </w:p>
    <w:p>
      <w:r>
        <w:rPr>
          <w:b/>
        </w:rPr>
        <w:t>E. 7.4</w:t>
      </w:r>
    </w:p>
    <w:p>
      <w:r>
        <w:t>En l'espèce, les recourants n'argumentent pas que l'initiative aurait pu être invalidée seulement partiellement, ceci à juste titre. En effet, selon son titre même, l'initiative avait pour but de prévoir des places de crèches gratuites pour tous les enfants. Amputée des dispositions prévoyant une offre répondant à la demande ainsi que de celles sur la gratuité, l'IN 196 est dépouillée des deux objectifs principaux visés par les initiants et il ne demeurerait plus que des dispositions prévoyant les moyens pour atteindre ces buts, soit la programmation de la réservation et l'acquisition de terrains et le budget d'investissement (art. 6 al. 3 LAPr tel que proposé par l'IN 196) ainsi que la contribution des employeurs (art. 10 al. 4 et 42 al. 1 LAPr tel que prévu par l'IN 196). Or, à supposer qu'elles soient valides – ce dont le Conseil d'État doute pour la seconde –, ces dispositions n'ont pas d'existence indépendante, puisqu'elles visent uniquement à permettre d'atteindre les deux objectifs précités.</w:t>
      </w:r>
    </w:p>
    <w:p>
      <w:r>
        <w:t>- 15/16 -</w:t>
      </w:r>
    </w:p>
    <w:p>
      <w:r>
        <w:t>A/4061/2023</w:t>
      </w:r>
    </w:p>
    <w:p>
      <w:r>
        <w:t>Au vu de ce qui précède, c'est à juste titre que le Conseil d'État a invalidé l'IN 196 dans sa totalité. Dans ces circonstances, le recours, entièrement mal fondé, sera rejeté.</w:t>
      </w:r>
    </w:p>
    <w:p>
      <w:r>
        <w:rPr>
          <w:b/>
        </w:rPr>
        <w:t>E. 8</w:t>
      </w:r>
    </w:p>
    <w:p>
      <w:r>
        <w:t>Vu l’issue du litige, un émolument de CHF 1'500.-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