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ACST/7/2019 vom 11. März 2019</w:t>
      </w:r>
    </w:p>
    <w:p>
      <w:r>
        <w:t>GE Cour de justice, 2019-03-11, FR</w:t>
      </w:r>
    </w:p>
    <w:p>
      <w:r>
        <w:rPr>
          <w:b/>
        </w:rPr>
        <w:t xml:space="preserve">Quelle: </w:t>
      </w:r>
      <w:r>
        <w:t>https://mcp.opencaselaw.ch/entscheid/ge_gerichte_ACST_7_2019</w:t>
      </w:r>
    </w:p>
    <w:p>
      <w:r>
        <w:t>FR: GE_GERICHTE ACST/7/2019 du 11 mars 2019</w:t>
      </w:r>
    </w:p>
    <w:p>
      <w:r>
        <w:t>IT: GE_GERICHTE ACST/7/2019 del 11 marzo 2019</w:t>
      </w:r>
    </w:p>
    <w:p>
      <w:pPr>
        <w:pStyle w:val="Heading2"/>
      </w:pPr>
      <w:r>
        <w:t>Erwägungen</w:t>
      </w:r>
    </w:p>
    <w:p>
      <w:r>
        <w:rPr>
          <w:b/>
        </w:rPr>
        <w:t>E. 1</w:t>
      </w:r>
    </w:p>
    <w:p>
      <w:r>
        <w:t>a. Selon l'art. 124 let. b Cst-GE, la Cour constitutionnelle – à savoir la chambre constitutionnelle de la Cour de justice (art. 1 let. h ch. 3 1er tiret de la loi sur l’organisation judiciaire du 26 septembre 2010 - LOJ - E 2 05) – est compétente pour traiter les litiges relatifs à l’exercice des droits politiques en matière cantonale et communale. Concrétisant cette norme constitutionnelle par le biais de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connaître des recours contre les violations de la procédure des opérations électorales indépendamment de l’existence d’une décision (art. 180 aLEDP ; ACST/23/2018 du 9 novembre 2018 consid. 2 et références citées). b. Comme le Tribunal administratif, puis la chambre administrative et enfin la chambre de céans l’ont jugé à maintes reprises, entrent dans le cadre des opérations électorales, et sont donc sujets à recours au sens de l’art. 180 LEDP, tous les actes – même matériels – destinés aux électeurs de nature à influencer la libre formation et expression du droit de vote, comme en particulier les mesures d’organisation de scrutins populaires, le matériel de vote en général, la brochure explicative, des circulaires et des tracts, des interventions d’autorités dans la campagne, de même que la constatation du résultat d’élections ou de votations (ACST/7/2018 du 5 avril 2018 consid. 2a ; ACST/14/2017 du 30 août 2017 consid. 2b ; ACST/3/2016 du 24 février 2016 consid. 7, et références jurisprudentielles et doctrinales citées dans ces arrêts). c. En l’espèce, le recours est dirigé formellement contre l’arrêté du Conseil d’État du 1er février 2019 fixant au dimanche 19 mai 2019 la date et les objets d’une votation cantonale, plus précisément contre le ch. 1 § 7 à 9 de cet arrêté prévoyant la soumission audit vote populaire de l’IN 170, de la loi 12416 (contreprojet à l’IN 170) et de la question subsidiaire. Il s’agit d’un acte sujet à</w:t>
      </w:r>
    </w:p>
    <w:p>
      <w:r>
        <w:t>- 13/24 - A/514/2019</w:t>
      </w:r>
    </w:p>
    <w:p>
      <w:r>
        <w:t>recours au sens de l’art. 180 LEDP (cf. ACST/3/2016 précité consid. 7 sur les actes marquant le début de la procédure des opérations électorales, dont la fixation du scrutin).</w:t>
      </w:r>
    </w:p>
    <w:p>
      <w:r>
        <w:t>Interprété au regard de son contenu, il faut considérer que le recours est également formé contre la fixation au comité d’initiative, par la DSOP pour le compte de l’intimé, d’un délai au 11 février 2019 à midi pour présenter un commentaire sur l’IN 170 en vue d’insertion dans la brochure explicative. Il s’agit aussi d’un acte sujet à recours au sens de l’art. 180 LEDP.</w:t>
      </w:r>
    </w:p>
    <w:p>
      <w:r>
        <w:t>Il est en revanche exact que – comme l’a relevé l’intimé – la loi 12416 elle-même n’est pas (encore) sujette à recours (art. 124 let. a Cst-GE ; art. 130B al. 1 let. a LOJ), n’ayant à ce stade non seulement pas été définitivement adoptée vu sa soumission au vote populaire à titre de contreprojet à l’IN 170, ni n’ayant a fortiori été promulguée (cf. art. 62 al. 3 phr. 2 de la loi sur la procédure administrative du 12 septembre 1985 - LPA - E 5 10). La conclusion complémentaire que les recourants ont prise dans leur écriture du 11 février 2019 est donc irrecevable, non parce qu’elle serait tardive mais parce qu’elle tend à l’annulation de la loi 12416. d. Sous cette réserve, le recours est recevable ratione materiae.</w:t>
      </w:r>
    </w:p>
    <w:p>
      <w:r>
        <w:rPr>
          <w:b/>
        </w:rPr>
        <w:t>E. 2</w:t>
      </w:r>
    </w:p>
    <w:p>
      <w:r>
        <w:t>septembre 2015 consid. 3a]).</w:t>
      </w:r>
    </w:p>
    <w:p>
      <w:r>
        <w:t>b. Il satisfait par ailleurs aux exigences de forme et de contenu prévues par les art. 64 al. 1 et 65 al. 1 et 2 LPA.</w:t>
      </w:r>
    </w:p>
    <w:p>
      <w:r>
        <w:t>c. S’agissant de la qualité pour recourir, la chambre constitutionnelle retient que pour les recours formés – comme en l’espèce – pour violation des droits politiques, toute personne physique ayant le droit de vote dans l’affaire en cause a qualité pour recourir, de même que les partis politiques et les organisations à caractère politique formées en vue d’une action précise, comme le lancement d’une initiative ou d’un référendum. Concernant les partis politiques, elle exige qu’ils soient constitués en personnes morales, exercent leurs activités dans la collectivité publique concernée par la votation populaire en cause et recrutent leurs membres principalement en fonction de leur qualité d’électeurs (ACST/8/2016 du 3 juin 2016 consid. 3a) ; elle ne pose pas l’exigence de la personnalité juridique à l’égard des comités d’initiative et des comités référendaires (ACST/4/2019 du 14 février 2019 consid. 1c ; ACST/22/2018 du 31 octobre 2018 consid. 1c ; ACST/3/2016 du 24 février 2016 consid. 2a), étant</w:t>
      </w:r>
    </w:p>
    <w:p>
      <w:r>
        <w:t>- 14/24 - A/514/2019</w:t>
      </w:r>
    </w:p>
    <w:p>
      <w:r>
        <w:t>donné que ceux-ci ne doivent pas se constituer en personnes morales pour lancer une initiative ou un référendum (art. 86 LEDP) et doivent pouvoir, en cas de litige, défendre les intérêts des initiants ou référendaires (cf., sur le plan fédéral, la jurisprudence plus stricte du Tribunal fédéral, not. ATF 134 I 172 consid. 1.3.1 ; 115 I 148 consid. 1b ; arrêts du Tribunal fédéral 1C_305/2012 du 26 février 2016 consid. 1.2 ; 1C_357/2009 du 8 avril 2010 consid. 1.2 ; 1C_424/2009 du</w:t>
      </w:r>
    </w:p>
    <w:p>
      <w:r>
        <w:rPr>
          <w:b/>
        </w:rPr>
        <w:t>E. 6</w:t>
      </w:r>
    </w:p>
    <w:p>
      <w:r>
        <w:t>septembre 2010 consid. 1.2 non publié in ATF 136 I 404 ; 1P.679/1996 du 24 mars 1997 consid. 1b.aa ; Jacques DUBEY, Droits fondamentaux, vol. II, 2018, n. 5433 ss ; Florence AUBRY GIRARDIN, in Bernard CORBOZ et al. [éd.], Commentaire de la LTF, 2ème éd., 2014, n. 58 ad art. 89 LTF ; Stéphane GRODECKI, L’initiative populaire cantonale et municipale à Genève, 2008, n. 1489 ss).</w:t>
      </w:r>
    </w:p>
    <w:p>
      <w:r>
        <w:t>En l’espèce, la qualité pour recourir doit dès lors être reconnue tant au comité d’initiative qu’aux huit personnes physiques ayant aussi formé le recours, lesdites personnes étant toutes titulaires des droits politiques dans le canton de Genève.</w:t>
      </w:r>
    </w:p>
    <w:p>
      <w:r>
        <w:t>d. Le recours doit donc être déclaré recevable, à l’exception de sa conclusion tendant à l’annulation de la loi 12416. 3.</w:t>
      </w:r>
    </w:p>
    <w:p>
      <w:r>
        <w:t>L’ordre constitutionnel garantit les droits politiques, à savoir l’ensemble des droits que les membres de l’organe étatique qu’est le corps électoral détiennent pour participer à la prise des décisions de leur communauté politique démocratique que forment respectivement la Confédération, les cantons et les communes (ACST/23/2018 du 9 novembre 2018 consid. 3a ; Jacques DUBEY, op. cit., n. 4836 ss ; Pascal MAHON, Droit constitutionnel, vol. I, 3ème éd., 2014, n. 122 ; Andreas AUER / Giorgio MALINVERNI / Michel HOTTELIER, Droit constitutionnel, vol. I, 3ème éd., 2013, n. 618, 623, 645 ss, et vol. II, n. 35). En particulier, l’art. 34 de la Constitution fédérale de la Confédération suisse du 18 avril 1999 (Cst. - RS 101) et l’art. 44 Cst-GE prévoient, de façon identique à leur al. 2, que la garantie des droits politiques protège la libre formation de l’opinion des citoyennes et des citoyens et l’expression fidèle et sûre de leur volonté. Il résulte de cette garantie que chaque citoyen doit pouvoir se déterminer en élaborant son opinion de la façon la plus libre et complète possible et exprimer son choix en conséquence.</w:t>
      </w:r>
    </w:p>
    <w:p>
      <w:r>
        <w:t>La liberté de vote garantit la sincérité du débat nécessaire au processus démocratique et à la légitimité des décisions prises en démocratie directe (ATF 140 I 394 consid. 8.2 ; 140 I 338 consid. 5 ; 139 I 2 consid. 6.2 ; arrêts du Tribunal fédéral 1C_610/2017 du 7 mai 2018 consid. 2.2 ; 1C_130/2015 du 20 janvier 2016 consid. 3.1 ; ACST/7/2018 du 5 avril 2018 consid. 8b). Elle se décompose en plusieurs maximes, que la doctrine énumère de façon globalement convergente tout en les répertoriant de façon nuancée, n’excluant pas certains</w:t>
      </w:r>
    </w:p>
    <w:p>
      <w:r>
        <w:t>- 15/24 - A/514/2019</w:t>
      </w:r>
    </w:p>
    <w:p>
      <w:r>
        <w:t>chevauchements (cf. Jacques DUBEY, op. cit., vol. II, n. 5104 ss, 5188 ss, 5217 ss, 5237 ss, 5301 ss, 5315 ss, 5358 ss, et Andreas AUER / Giorgio MALINVERNI / Michel HOTTELIER, op. cit., vol. I, n. 913 ss). Ainsi, pour Pascal MAHON (op. cit., vol. I, n. 151 à 153),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impliquer le droit à un recomptage).</w:t>
      </w:r>
    </w:p>
    <w:p>
      <w:r>
        <w:t>Plusieurs de ces exigences trouvent leur expression dans des dispositions légales et réglementaires posant des règles de procédure, valables aux stades de la préparation et du déroulement des scrutins populaires et/ou de la constatation des résultats. Contribuant à concrétiser la liberté de vote, ces normes doivent être observées scrupuleusement, n’ayant pas valeur de simples prescriptions d’ordre (ACST/5/2015 du 4 mars 2015 consid. 6b ; Andreas AUER / Giorgio MALINVERNI / Michel HOTTELIER, op. cit., vol. I, n. 922 ; Stéphane GRODECKI, op. cit., n. 1323). 4. a. La fixation de la date d’un scrutin cantonal ou communal relève de la compétence du Conseil d’État (art. 46 al. 1 Cst-GE, selon lequel, plus généralement, l’exécutif cantonal organise et surveille les opérations électorales). Selon l’art. 19 LEDP, il incombe à ladite autorité de le faire au plus tard quinze semaines avant le dernier jour du scrutin (al. 1), dans la mesure du possible, s’agissant de votations, pour une date coïncidant avec celle de votations fédérales (al. 2). Pour les scrutins fédéraux, le Conseil fédéral arrête leurs dates et fait publier par la Chancellerie fédérale au plus tard au mois de juin de chaque année les dates qui sont réservées pour les votations populaires fédérales de l’année qui suit (art. 10 al. 1 de la loi fédérale sur les droits politiques du 17 décembre 1976 - LDP - RS 161.1 ; art. 2a de l’ordonnance sur les droits politiques du 24 mai 1978 - ODP - RS 161.11) ; le Conseil fédéral fixe, au minimum quatre mois avant le jour de la votation, les objets qui feront l’objet de la votation ; le délai de quatre mois peut être raccourci pour les lois fédérales déclarées urgentes (art. 10 al. 1bis LDP).</w:t>
      </w:r>
    </w:p>
    <w:p>
      <w:r>
        <w:t>L’intimé a respecté ces prescriptions en rendant l’arrêté attaqué le 1er février 2019 pour des votations cantonales fixées au 19 mai 2019, date de votations fédérales. b. Sans doute le Conseil d’État pouvait-il retenir une date ultérieure au 19 mai 2019 pour la votation populaire sur l’IN 170, la loi 12416 opposée comme contreprojet à cette dernière et la question subsidiaire – soit trois objets devant</w:t>
      </w:r>
    </w:p>
    <w:p>
      <w:r>
        <w:t>- 16/24 - A/514/2019</w:t>
      </w:r>
    </w:p>
    <w:p>
      <w:r>
        <w:t>être soumis conjointement au vote du peuple (art. 63 al. 3 Cst-GE) – puisque, d’après l’art. 46 al. 2 let. b Cst-GE, ladite votation devait avoir lieu au plus tard un an après l’adoption dudit contreprojet, donc au plus tard le 31 janvier 2020. La fixation au 19 mai 2019 de la votation populaire sur l’IN 170, son contreprojet et la question subsidiaire s’inscrivait dans la perspective que ladite votation ait lieu « dans le plus bref délai », ainsi que le prévoit l’art. 46 al. 2 in initio Cst-GE. c. Il ne saurait être vu dans la fixation au 19 mai 2019 d’une votation populaire portant aussi sur ces trois objets une quelconque contrariété avec l’exigence d’unité de la matière constituant un sous-aspect de la liberté de vote. En plus d’être relative, donc d’appeler un examen en fonction des circonstances concrètes, ladite exigence n’interdit pas de soumettre au corps électoral des objets distincts, permettant aux citoyens de se déterminer librement à leur sujet, en particulier d’accepter les uns et de refuser d’autres. Elle n’interdit que de mêler, dans un même objet soumis au peuple, plusieurs propositions de nature ou de but différents, qui forceraient ainsi le citoyen à une approbation ou une opposition globales alors qu’il pourrait n’être d’accord qu’avec une partie des propositions qui lui sont soumises de façon indûment amalgamée (ATF 137 I 200 consid. 2.2 ; 130 I 185 consid. 3 ; 129 I 381 consid. 2 ; 129 I 366 consid. 2.3 ; 128 I 190 consid. 3.2 ; arrêt du Tribunal fédéral 1P.223/2006 du 12 septembre 2006 consid. 2 ; Jacques DUBEY, op. cit., vol. II, n. 5217 ss).</w:t>
      </w:r>
    </w:p>
    <w:p>
      <w:r>
        <w:t>Or, les trois objets que sont l’IN 170, son contreprojet et la question subsidiaire sont distincts des autres objets mis au programme de la votation populaire du 19 mai 2019. Il n’y a pas de confusion possible avec l’un ou l’autre d’entre eux – que ce soit avec l’un ou l’autre des objets fédéraux ou avec l’un ou l’autre des autres objets cantonaux –, quand bien même le sujet d’un octroi plus généreux de subsides d’assurance-maladie est soutenu par l’intimé, dans la version proposée par le contreprojet à l’IN 170, comme représentant une compensation sociale aux mesures fiscales prévues par la loi 12006 modifiant la LIPM par ailleurs soumise le même jour au vote populaire. Le citoyen a toute latitude d’accepter ou refuser l’IN 170 et/ou la loi 12416 et d’exprimer sa préférence en cas d’acceptation de ces deux objets, quel que soit son vote personnel sur les autres objets, en particulier sur la loi 12006.</w:t>
      </w:r>
    </w:p>
    <w:p>
      <w:r>
        <w:t>Il sied aussi de préciser qu’il n’y a pas non plus d’interdépendance artificiellement ignorée entre ces différents objets ou l’un ou l’autre d’entre eux. d. On ne voit pas qu’il y aurait une autre contre-indication juridique, en particulier une atteinte à d’autres facettes de la liberté de vote, qui s’opposerait à la fixation d’une votation populaire portant sur les trois objets considérés en même temps que sur l’un ou l’autre des objets fédéraux ou cantonaux mis au programme de la votation populaire considérée.</w:t>
      </w:r>
    </w:p>
    <w:p>
      <w:r>
        <w:t>- 17/24 - A/514/2019</w:t>
      </w:r>
    </w:p>
    <w:p>
      <w:r>
        <w:t>Il n’y a pas d’ambiguïté dans la formulation des questions soumises aux citoyens. Il incombe par ailleurs aux autorités et il est loisible aux recourants de faire valoir leurs arguments en faveur ou défaveur respectivement de l’IN 170 et de la loi 12416, par le biais de leur commentaire appelé à figurer dans la brochure explicative et, s’agissant notamment des recourants (ACST/5/2015 du 4 mars 2015 consid. 6a), encore par tous autres moyens admissibles au cours de la campagne référendaire. e. Sans doute l’IN 170 a-t-elle été conçue en marge des travaux législatifs concernant la réforme de l’imposition des entreprises et le fait d’y opposer un contreprojet parallèlement au vote de cette dernière et à qualifier ce contreprojet de mesure compensatoire tend-il à établir un lien indirect entre ces deux sujets. Ce lien n’est cependant nullement de nature juridique. Or, en l’absence de lien juridique entre les objets considérés (en particulier la loi 12416) et la réforme de l’imposition fiscale des entreprises (en particulier la loi 12006), il relève d’un choix politique n’enfreignant aucunement la liberté de vote de soumettre ces différents objets, distincts, au vote du peuple à une même date. Celui qu’a fait l’intimé à ce propos a d’ailleurs manifestement été avalisé par une majorité du Grand Conseil.</w:t>
      </w:r>
    </w:p>
    <w:p>
      <w:r>
        <w:t>Une majorité du parlement a partagé le point de vue assurément politique, mais non contraire au droit pour autant, qu’il était opportun d’adopter et le cas échéant de soumettre au corps électoral simultanément d’une part une réforme de l’imposition des entreprises allant sans doute engendrer dans un premier temps des pertes fiscales, mais dont elle escomptait un maintien des emplois dans le canton et, à terme, une recrudescence des recettes fiscales, et d’autre part des mesures sociales, à savoir un soutien accentué aux structures d’accueil de la petite enfance par le biais de la loi 12009 modifiant la LSAPE et un octroi plus généreux des subsides d’assurance-maladie par le biais du contreprojet à l’IN 170 (ou – ne peut-on exclure – par celui d’une acceptation de l’IN 170 de préférence à la loi 12146).</w:t>
      </w:r>
    </w:p>
    <w:p>
      <w:r>
        <w:t>C’est sur le plan politique que ces mesures-ci, qualifiées de compensatoires par rapport à la réforme fiscale, peuvent présenter une semblable caractéristique, et non sur le plan financier ou comptable, en tant qu’il est attendu des mesures considérées respectivement des perte fiscales (du moins durant quelques années, au point que la loi 12007 a introduit transitoirement des dérogations aux mécanismes prévalant dans les collectivités publiques en cas de déficits budgétaires) et des coûts supplémentaires. Il s’agit de répondre parallèlement à des préoccupations d’une part fiscales et économiques et d’autre part sociales, et, par la soumission desdites lois le même jour à votation populaire, de démontrer aux citoyens l’engagement des autorités sur ces deux fronts, tout en permettant au corps électoral de faire son propre arbitrage entre les intérêts en jeu, à savoir tant d’accepter que de refuser les unes et/ou les autres des mesures considérées. La</w:t>
      </w:r>
    </w:p>
    <w:p>
      <w:r>
        <w:t>- 18/24 - A/514/2019</w:t>
      </w:r>
    </w:p>
    <w:p>
      <w:r>
        <w:t>situation n’est guère différente de celle qui se serait présentée si la loi 12009 modifiant la LSAPE avait fait l’objet d’un référendum qui eût abouti, même si cette modification législative a été conçue dès le départ comme ayant une portée compensatoire à la réforme de l’imposition des entreprises ; sans doute cette loi aurait-elle, s’il y avait eu référendum à son encontre, été soumise au vote du peuple également le 19 mai 2019, sans qu’il y ait quoi que ce soit à redire à sa soumission à ce scrutin, en même temps mais comme constituant un objet distinct des autres objets évoqués. 5. a. Les recourants font par ailleurs grief à l’intimé de lui avoir imparti un délai trop bref pour présenter un commentaire de l’IN 170 en vue d’insertion dans la brochure explicative.</w:t>
      </w:r>
    </w:p>
    <w:p>
      <w:r>
        <w:t>b. Pour les scrutins fédéraux, le texte soumis à la votation est accompagné de brèves explications du Conseil fédéral, qui doivent rester objectives et exposer également l’avis d’importantes minorités ; il doit contenir le libellé exact de la question qui figure sur le bulletin de vote ; dans le cas d’une initiative populaire ou d’un référendum, le comité fait part de ses arguments au Conseil fédéral, lequel les reprend dans ses explications (art. 11 al. 2 phr. 1 à 3 LDP). Selon l’art. 11 al. 2 LDP,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etc.) ; le texte soumis à la votation et les explications peuvent cependant leur être remis plus tôt ; la Chancellerie fédérale publie, sur support électronique et au plus tard six semaines avant le jour de la votation, les textes soumis à la votation et les explications qui les accompagnent.</w:t>
      </w:r>
    </w:p>
    <w:p>
      <w:r>
        <w:t>Pour les votations cantonales et communales intervenant dans le canton de Genève, les électeurs reçoivent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les recommandations du Grand Conseil ou du Conseil municipal (art. 53 al. 1 LEDP). Le texte soumis à la votation et les explications peuvent cependant leur être remis plus tôt ; la chancellerie d’État publie, sur support électronique et au plus tard six semaines avant le jour de la votation, les textes soumis à la votation et les explications qui les accompagnent (art. 53 al. 2 LEDP). Les électeurs inscrits sur le rôle électoral des Suisses de l’étranger reçoivent de l’État pour les votations cantonales, au plus tôt quatre semaines avant le jour de la votation, les bulletins de vote, les textes soumis à la votation et les explications y relatives (art. 53 al. 5 LEDP). Il faut aussi mentionner qu’une initiative peut être retirée au plus tard trente jours après la publication ou l’affichage de la décision définitive du Grand Conseil ou du Conseil municipal sur</w:t>
      </w:r>
    </w:p>
    <w:p>
      <w:r>
        <w:t>- 19/24 - A/514/2019</w:t>
      </w:r>
    </w:p>
    <w:p>
      <w:r>
        <w:t>sa prise en considération et l’adoption éventuellement d’un contreprojet (art. 93 al. 1 LEDP).</w:t>
      </w:r>
    </w:p>
    <w:p>
      <w:r>
        <w:t>Ni la législation fédérale s’agissant des scrutins fédéraux, ni la législation genevoise s’agissant des votations cantonales et communales ne fixent le délai devant être imparti à un comité d’initiative (ou un comité référendaire) pour fournir ses explications ou son commentaire appelés à figurer dans la brochure explicative. Ce délai est dicté par les contraintes permettant l’envoi à temps, au regard des prescriptions précitées, du matériel de vote aux électeurs, soit, en amont, l’approbation de la brochure explicative par le Conseil d’État, l’impression du matériel de vote et sa mise sous pli. Il doit permettre raisonnablement au comité d’initiative ou au comité référendaire de rédiger un commentaire ou des explications, sauf à violer la liberté de vote dont ceux-ci peuvent se prévaloir (cf. infra consid. 1c). Un délai relativement bref, de l’ordre d’une dizaine de jours, doit en règle générale être tenu pour suffisant, car non seulement de la diligence et de la disponibilité doivent pouvoir être attendues de la part de tels comités, mais encore ceux-ci sont censés pouvoir se préparer à commenter leur initiative, y compris le cas échéant un contreprojet (notamment pour justifier le maintien de l’initiative), ou la loi frappée de référendum, même si un argumentaire contre une loi votée et attaquée par référendum est plus prévisible que celui concernant une initiative à laquelle un contreprojet est opposé.</w:t>
      </w:r>
    </w:p>
    <w:p>
      <w:r>
        <w:t>c. En l’espèce, il n’est pas nécessaire de déterminer si – sur un plan général et compte tenu des circonstances évoquées plus loin (infra consid. 6 et 7) – le délai imparti par courriel le 1er février 2019 à 15h43 au vendredi 8 février 2019 à midi, puis, par courriel du 4 février 2019 à 16h33, prolongé de trois jours, au lundi</w:t>
      </w:r>
    </w:p>
    <w:p>
      <w:r>
        <w:rPr>
          <w:b/>
        </w:rPr>
        <w:t>E. 11</w:t>
      </w:r>
    </w:p>
    <w:p>
      <w:r>
        <w:t>février 2019, a été suffisant. Ce délai a en effet été prolongé une nouvelle fois, par courriel du 8 février 2019 à 17h09, jusqu’au mercredi 27 février 2019 à 12h00. À cet égard, l’objet du recours s’est trouvé modifié par la reconsidération de l’acte attaqué, si bien qu’il n’y a lieu de traiter le recours sur ce point que dans la mesure où cette nouvelle mesure ne l’a pas rendu sans objet (art. 67 al 2 et 3 LPA), sans préjudice d’une prise en compte de cet élément pour la fixation de l’émolument le cas échéant dû par les recourants, auxquels il a été en quelque sorte donné gain de cause sur ce point par l’intimé lui-même.</w:t>
      </w:r>
    </w:p>
    <w:p>
      <w:r>
        <w:t>Or, il est indéniable qu’un délai de dix-huit jours et dix-neuf heures était amplement suffisant pour adresser un commentaire à la DSOV sur l’IN 170, y compris le contreprojet opposé à cette dernière, d’autant plus que le comité d’initiative savait dès avant le vote de la loi et du contreprojet, le 31 janvier 2019, que, si celui-ci était adopté, l’intimé soumettrait l’IN 170, son contreprojet et la question subsidiaire au corps électoral le 19 mai 2019, qu’il en a eu la confirmation par le courriel précité de la DSOV du 1er février 2019 à 15h43 l’invitant à lui remettre un tel commentaire, et donc qu’il a disposé à ces fins-ci en tout de quasiment vingt-sept jours pleins.</w:t>
      </w:r>
    </w:p>
    <w:p>
      <w:r>
        <w:t>- 20/24 - A/514/2019</w:t>
      </w:r>
    </w:p>
    <w:p>
      <w:r>
        <w:t>d. Par ailleurs, l’égalité de traitement a été respectée, puisque – d’après ce qu’indique l’intimé de façon crédible et non contestée par les recourants – un même délai de fourniture des textes en vue d’insertion dans la brochure explicative a été imparti au comité d’initiative et aux services de l’administration concernés.</w:t>
      </w:r>
    </w:p>
    <w:p>
      <w:r>
        <w:t>e. Il faut aussi rappeler que le comité d’initiative a été en mesure, en l’espace de dix jours (soit le 28 décembre 2018 en réponse à une demande du 18 décembre 2018), d’adresser à la commission fiscale une prise de position écrite sur le PL 12416, de sept pages A4 et accompagnée d’une comparaison sur deux pages A4 des effets sur le taux d’effort des ménages entre l’IN 170 et le PL 12416. On ne voit pas que ce même comité d’initiative ne serait pas en mesure de fournir, en vue d’insertion dans la brochure explicative, un commentaire de l’IN 170 et son contreprojet, qui devrait être nettement moins développé (puisqu’il ne devrait pas excéder 90 lignes et 5684 caractères). Il y est d’ailleurs parvenu dans le délai prolongé à cette fin au 27 février 2019, et même encore jusqu’au 6 mars 2019 à midi en intégrant dans son texte une évaluation sur le contreprojet et sa recommandation de répondre « initiative » à la question subsidiaire. 6. a. Il est vrai que la loi 12416 a été publiée dans la FAO du 8 février 2019, de surcroît avec deux erreurs affectant l’art. 22 al. 1 LaLAMal, et qu’elle a été republiée, dans une version corrigée, dans la FAO du 13 février 2019. b. L’IN 170 a été lancée par trois partis politiques représentés au Grand Conseil, et trois députés figurent parmi les personnes pouvant décider à la majorité de la retirer, donc du comité d’initiative (art. 58 Cst-GE). Aussi ne fait-il guère de doute que le comité d’initiative connaissait la teneur de la loi 12416 dans sa version amendée au plus tard dès que le Grand Conseil a adopté cette loi en trois débats, le 31 janvier 2019. Sans doute a-t-il pu être étonné de découvrir, à la suite de la publication de la loi 12416 dans la FAO du 8 février 2018 (sinon déjà à réception du courriel de la DSOV du 4 février 2019 lui transmettant le texte de ladite loi), que les montants indiqués des subsides pour les groupes 5 et 6 étaient respectivement de CHF 120.- (et non CHF 130.-) et de CHF 130.- (et non CHF 90.-). Il n’en a le cas échéant été troublé que très momentanément, car - ainsi que les recourants l’ont eux-mêmes relevé dans leur écriture du 11 février 2019 – il était manifestement incohérent que le groupe 6 des bénéficiaires des subsides d’assurance-maladie, disposant de revenus supérieurs à ceux du groupe 5, soient mis au bénéfice d’un subside plus élevé que ces derniers, alors qu’au surplus les montants des subsides étaient logiquement dégressifs d’un groupe d’assurés à l’autre, passant de CHF 300.- pour le groupe 1 à CHF 40.- pour le groupe 8. Ayant eu accès aux amendements présentés par le Conseil d’État le 31 janvier 2019 au Grand Conseil, le comité d’initiative non seulement s’est vite rendu compte de l’erreur affectant les deux montants précités, mais aussi a rapidement connu la teneur que le Grand Conseil, en acceptant lesdits amendements, avait</w:t>
      </w:r>
    </w:p>
    <w:p>
      <w:r>
        <w:t>- 21/24 - A/514/2019</w:t>
      </w:r>
    </w:p>
    <w:p>
      <w:r>
        <w:t>donnée à l’art. 22 al. 1 LaLAMal. L’erreur de publication précitée n’a donc pas entravé le comité d’initiative dans la possibilité de préparer le commentaire que la DSOV l’avait invité à lui fournir. c. Au demeurant, le texte correct de la loi 12416 a été publié dans la FAO du</w:t>
      </w:r>
    </w:p>
    <w:p>
      <w:r>
        <w:rPr>
          <w:b/>
        </w:rPr>
        <w:t>E. 13</w:t>
      </w:r>
    </w:p>
    <w:p>
      <w:r>
        <w:t>février 2019, ainsi que la chancellerie d’État en a aussitôt informé le comité d’initiative. Celui-ci a donc disposé, jusqu’au 27 février 2019, d’un délai nettement suffisant, même s’il fallait le compter à partir du 13 février 2019, pour préparer et remettre son texte à la DSOV. 7. a. Les recourants font encore valoir que le comité d’initiative n’était pas en mesure de fournir un commentaire en vue d’insertion dans la brochure explicative, faute de connaître la portée des amendements présentés par le Conseil d’État et adoptés par le Grand Conseil le 31 janvier 2019. b. Il est vrai que l’adoption du contreprojet à l’IN 170 s’est faite sous une certaine pression de temps dictée par la volonté – admissible (infra consid. 4d) – de soumettre les trois objets relatifs à ladite initiative au vote du peuple le 19 mai 2019, en même temps que la RFFA et le volet cantonal de la réforme de l’imposition des entreprises. Il faut aussi concéder que le Conseil d’État a présenté deux amendements à la loi 12416 le jour même où le Grand Conseil était appelé à traiter notamment l’IN 170 et son contreprojet et sans pouvoir donner d’explications détaillées et étayées sur la portée précise de ces amendements, et que le Grand Conseil a adopté ces derniers puis la loi 12416 ainsi amendée, certes en trois débats mais sans discussion sur ces amendements.</w:t>
      </w:r>
    </w:p>
    <w:p>
      <w:r>
        <w:t>Le conseiller d’État en charge du département de la cohésion sociale avait cependant indiqué au Grand Conseil qu’il s’agissait d’amendements techniques ne remettant pas en cause le dispositif et l’orientation du PL 12416 votés par la commission fiscale. Il s’agissait, sans augmentation de l’enveloppe de CHF 186'000'000.- admise par ladite commission, d’une part de réduire un peu le cercle des personnes seules bénéficiaires des subsides d’assurance-maladie mais d’autre part d’augmenter le montant desdits subsides pour les groupes d’assurés 1 à 5. Le soutien à la classe moyenne, en particulier à la classe moyenne inférieure, restait substantiel (cf., faute de MGC encore disponible, la diffusion en différé de la séance du Grand Conseil du 31 janvier 2019, notamment de 11h49 à 11h53 et de 16h42 à 16h48, à l’adresse internet http://ge.ch/grandconseil/sessions/ video/020108/50 et 51). c. Bien que ledit conseiller d’État ait déclaré qu’il fallait « dix jours au service de l’assurance-maladie, respectivement à ses ordinateurs, pour calculer les effets de ce projet de loi », il n’apparaît pas que ses déclarations précitées seraient fausses sur le plan du principe ou trompeuses quant à la portée des amendements considérés. Il n’a pas nié que, du fait de ces amendements, les subsides</w:t>
      </w:r>
    </w:p>
    <w:p>
      <w:r>
        <w:t>- 22/24 - A/514/2019</w:t>
      </w:r>
    </w:p>
    <w:p>
      <w:r>
        <w:t>d’assurance-maladie seraient alloués, s’agissant des personnes seules, à un cercle plus restreint de bénéficiaires, et il n’a pas affirmé que l’augmentation du montant des subsides pour les groupes 1 à 5 compenserait le resserrement des limites de revenus pour ces bénéficiaires.</w:t>
      </w:r>
    </w:p>
    <w:p>
      <w:r>
        <w:t>Une simple lecture comparative de l’art. 21 al. 1 LaLAMal dans sa version actuellement en vigueur, celle du PL 12416 voté par la commission fiscale et celle de la loi 12416 adoptée par le Grand Conseil fait apparaître clairement les orientations données successivement à cette disposition. Par rapport au PL 12416 voté par la commission fiscale, le cercle des personnes seules qui bénéficieraient de subsides d’assurance-maladie se trouverait, dans la version votée par le Grand Conseil (donc celle soumise au vote du peuple), restreint dans une mesure d’autant plus importante que leur revenu déterminant ne serait pas fort bas ; mais par rapport à la LaLAMal actuellement en vigueur, le cercle des bénéficiaires des subsides d’assurance-maladie serait substantiellement élargi, y compris (quoique logiquement dans une moindre mesure) pour les personnes seules. Concernant le montant des subsides, il appert que ceux-ci, dans la version de la loi soumise au vote populaire, seraient très sensiblement augmentés non seulement par rapport aux subsides actuels mais aussi, s’agissant des assurés des groupes 1 à 5, par rapport à ceux du PL 12416.</w:t>
      </w:r>
    </w:p>
    <w:p>
      <w:r>
        <w:t>Pour juger de la conformité au droit, sous l’angle des droits politiques, de la soumission au vote populaire d’une initiative telle que l’IN 170 et de son contreprojet, il n’est pas décisif que les effets des normes considérées soient établis d’une façon plus précise qu’en l’espèce. Sans doute est-il souhaitable que les conséquences économiques, financières, écologiques et sociales à long terme des projets législatifs soient évaluées le mieux possible. Toutefois, en l’espèce, il ne saurait être vu dans la soumission de l’IN 170 et son contreprojet au scrutin du 19 mai 2019 une violation des droits politiques tenant à une évaluation desdites conséquences qui serait le cas échéant insuffisante au regard de la mission que l’art. 109 al. 3 Cst-GE confère à cet égard au Conseil d’État, ni à une consultation et une concertation restées en-deça de celles envisagées par l’art. 11 al. 1 Cst-GE à la charge des autorités. d. On ne saurait retenir que le comité d’initiative n’était pas en mesure de rédiger un commentaire reflétant suffisamment son appréciation des avantages et inconvénients respectifs de son initiative et du contreprojet qui lui est opposé (dans sa version amendée par le Grand Conseil).</w:t>
      </w:r>
    </w:p>
    <w:p>
      <w:r>
        <w:t>Il lui était au demeurant loisible, y compris dans son commentaire destiné à être inséré dans la brochure explicative, de critiquer la loi 12416 pour le motif que sa portée serait selon lui insuffisamment déterminée.</w:t>
      </w:r>
    </w:p>
    <w:p>
      <w:r>
        <w:t>- 23/24 - A/514/2019</w:t>
      </w:r>
    </w:p>
    <w:p>
      <w:r>
        <w:t>e. Enfin, si la brochure explicative représente un moyen important d’informer le corps électoral sur les objets soumis à votation, les citoyens ont toute latitude de s’informer par d’autres biais, en particulier en s’intéressant aux débats publics et articles de presse consacrés auxdits objets (ATF 130 I 290 consid. 3.2 ; arrêt du Tribunal fédéral 1C_130/2015 précité consid. 3.2 ; ACST/3/2016 du 24 février 2016 consid. 10a in fine ; ACST/5/2015 précité consid. 9b ; ATA/583/2008 du 18 novembre 2008 consid. 9c in initio). 8. a. En conclusion, le recours est mal fondé. Il doit être rejeté. b. Vu l'issue donnée au recours (art. 87 al. 1 et 2 LPA), mais aussi la modification partielle de son objet en cours de procédure (infra consid. 5c), un émolument – réduit – de CHF 500.- sera mis à la charge du comité d'initiative et des huit personnes physiques recourantes, tous pris conjointement et solidairement, et il ne leur sera pas alloué d’indemnité de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