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ACST/7/2018 vom 5. April 2018</w:t>
      </w:r>
    </w:p>
    <w:p>
      <w:r>
        <w:t>GE Cour de justice, 2018-04-05, FR</w:t>
      </w:r>
    </w:p>
    <w:p>
      <w:r>
        <w:rPr>
          <w:b/>
        </w:rPr>
        <w:t xml:space="preserve">Quelle: </w:t>
      </w:r>
      <w:r>
        <w:t>https://mcp.opencaselaw.ch/entscheid/ge_gerichte_ACST_7_2018</w:t>
      </w:r>
    </w:p>
    <w:p>
      <w:r>
        <w:t>FR: GE_GERICHTE ACST/7/2018 du 5 avril 2018</w:t>
      </w:r>
    </w:p>
    <w:p>
      <w:r>
        <w:t>IT: GE_GERICHTE ACST/7/2018 del 5 aprile 2018</w:t>
      </w:r>
    </w:p>
    <w:p>
      <w:pPr>
        <w:pStyle w:val="Heading2"/>
      </w:pPr>
      <w:r>
        <w:t>Erwägungen</w:t>
      </w:r>
    </w:p>
    <w:p>
      <w:r>
        <w:rPr>
          <w:b/>
        </w:rPr>
        <w:t>E. 14</w:t>
      </w:r>
    </w:p>
    <w:p>
      <w:r>
        <w:t>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w:t>
      </w:r>
    </w:p>
    <w:p>
      <w:r>
        <w:t>- 7/17 - A/1058/2018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(ACST/16/2017 du 21 septembre 2017 consid. 3a ; ACST/8/2016 du 3 juin 2016 ; ACST/3/2016 du 24 février 2016 ; ACST/10/2015 du 11 mai 2015 ; ACST/6/2015 du 26 mars 2015 ; ACST/5/2015 du 4 mars 2015 ; ATA/65/2013 du 6 février 2013 ; ATA/715/2012 du 30 octobre 2012 ; ATA/331/2012 du 5 juin 2012 ; ATA/180/2011 du 17 mars 2011 ; ATA/51/2011 du 1er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w:t>
      </w:r>
    </w:p>
    <w:p>
      <w:r>
        <w:t>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ACST/16/2017 précité consid. 4a ; ACST/8/2016 précité ; ACST/3/2016 précité ; ATA/201/2013 du 26 mars 2013 ; ATA/163/2009 du 31 mars 2009 ; ATA/712/2000 du 21 novembre 2000).</w:t>
      </w:r>
    </w:p>
    <w:p>
      <w:r>
        <w:t>b. En l’espèce, l'UDC Genève est un parti politique constitué en association au sens des art. 60 ss du Code civil suisse du 10 décembre 1907 (CC - RS 210) et exerçant ses activités sur le territoire cantonal, et ayant déposé des listes en vue des élections au Grand Conseil et au Conseil d'État du 15 avril 2018. Il a dès lors</w:t>
      </w:r>
    </w:p>
    <w:p>
      <w:r>
        <w:t>- 8/17 - A/1058/2018 qualité pour recourir, tout comme M. A______, personne physique et ressortissant suisse qui est, selon le rôle de l’office cantonal de la population et des migrations (ci-après : OCPM), domicilié sur le territoire cantonal, où il exerce ses droits politiques. Le recours est ainsi recevable de ce point de vue. 4) a. Aux termes de l’art. 62 al. 1 let. c LPA, en matière de votations et d’élections, le délai de recours est de six jours.</w:t>
      </w:r>
    </w:p>
    <w:p>
      <w:r>
        <w:t>b. Ce délai court à compter du jour où, en faisant montre à cet égard de la diligence commandée par les circonstances, le recourant a pris connaissance de l’irrégularité entachant, selon lui, les opérations électorales (ACST/16/2017 précité consid. 5b ; ACST/8/2016 précité ; ACST/10/2015 précité ; ACST/6/2015 précité ; ACST/5/2015 précité ; ATA/118/2014 du 25 février 2014 ; ATA/715/2012 précité).</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(ATA/680/2000 du 7 novembre 2000, confirmé par arrêt du Tribunal fédéral 1P.733/2000 du 14 mai 2001 ; ATA/456/2011 du 26 juillet 2011 ; ATA/303/2011 du 17 mai 2011).</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(ACST/16/2017 précité consid. 5d ; ATA/72/2018 du 23 janvier 2018 consid. 3a ; ATA/244/2015 du 3 mars 2015 ; ATA/143/2015 du 3 février 2015). Les cas de force majeure restent toutefois réservés (art. 16 al. 1 2ème phr. LPA). Tombent sous cette notion les événements</w:t>
      </w:r>
    </w:p>
    <w:p>
      <w:r>
        <w:t>- 9/17 - A/1058/2018 extraordinaires et imprévisibles qui surviennent en dehors de la sphère d’activité de l’intéressé et qui s’imposent à lui de l’extérieur de façon irrésistible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w:t>
      </w:r>
    </w:p>
    <w:p>
      <w:r>
        <w:t>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précité consid. 6).</w:t>
      </w:r>
    </w:p>
    <w:p>
      <w:r>
        <w:t>- 10/17 - A/1058/2018 6)</w:t>
      </w:r>
    </w:p>
    <w:p>
      <w:r>
        <w:t>En l’espèce, le recours a été posté le 26 mars 2018.</w:t>
      </w:r>
    </w:p>
    <w:p>
      <w:r>
        <w:t>Le matériel de vote destiné aux électeurs domiciliés dans le canton a été expédié, en courrier B1, à partir du 13 mars 2018. Il ne ressort pas du dossier que M. A______ ait reçu son matériel de vote avant le 20 mars 2018, et cela n'est pas non plus allégué par l'intimé. De plus, s'agissant d'un point ne ressortant pas de manière évidente de la brochure litigieuse, et qui a été mis en évidence par un internaute sur les réseaux sociaux le 19 mars 2018, puis rendu public le 20 mars 2018 par le communiqué de presse de la chancellerie d'État puis la publication d'articles dans la presse les 20 et 21 mars 2018, il apparaît hautement vraisemblable que le recourant, et par ricochet son parti politique, aient effectivement eu connaissance de l'irrégularité alléguée le 20 mars 2018, comme ils le soutiennent. Selon la jurisprudence de la chambre de céans, le fait que la notice explicative litigieuse ait été mise en ligne avant le 20 mars 2018 ne saurait par ailleurs fonder une présomption de connaissance de l'irrégularité alléguée dès cette mise en ligne (ACST/16/2017 précité consid. 7).</w:t>
      </w:r>
    </w:p>
    <w:p>
      <w:r>
        <w:t>Le dies a quo du délai étant ainsi, en l'espèce, le 20 mars 2018, le délai de recours venait à échéance le 26 mars 2018, si bien qu'il est respecté par le dépôt du recours auprès d'un bureau de poste suisse le 26 mars 2018.</w:t>
      </w:r>
    </w:p>
    <w:p>
      <w:r>
        <w:t>Il s’ensuit que le recours est recevable sous cet angle également. 7)</w:t>
      </w:r>
    </w:p>
    <w:p>
      <w:r>
        <w:t>L’acte de recours satisfait par ailleurs aux exigences de forme et de contenu prescrites par les art. 64 al. 1 et 65 LPA. En particulier, il comporte un exposé des motifs suffisants (art. 65 al. 2, 1ère phr.,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mais elle l’est par les conclusions prises par celles-ci (art. 69 al. 1 LPA). 8)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a une teneur similaire.</w:t>
      </w:r>
    </w:p>
    <w:p>
      <w:r>
        <w:t>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w:t>
      </w:r>
    </w:p>
    <w:p>
      <w:r>
        <w:t>- 11/17 - A/1058/2018 processus démocratique et à la légitimité des décisions prises en démocratie directe (ATF 140 I 394 consid. 8.2 ; 140 I 338 consid. 5 ; 139 I 2 consid. 6.2 ; arrêt du Tribunal fédéral 1C_130/2015 du 20 janvier 2016 consid. 3.1). 9) a. Le Conseil d'État est élu tous les cinq ans au système majoritaire ; le premier tour a lieu simultanément à l’élection du Grand Conseil (art. 102 al. 2 Cst-GE).</w:t>
      </w:r>
    </w:p>
    <w:p>
      <w:r>
        <w:t>b. L’élection du Conseil d’État a lieu conformément aux art. 52, 55, 102, 103 et 104 Cst-GE (art. 102 al. 1 LEDP). Le Conseil d’État entre en fonction le 1er juin ; la prestation de serment a lieu entre le 15 mai et le 1er juin (art. 102 al. 2 LEDP). 10) S'agissant du problème de l'intervention des autorités préalable à un scrutin, la jurisprudence est plus développée en matière de votations que d'élections.</w:t>
      </w:r>
    </w:p>
    <w:p>
      <w:r>
        <w:t>a.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 20 septembre 2016 consid. 3 = SJ 2017 I 116).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 Giorgio MALINVERNI/Michel HOTTELIER, Droit constitutionnel suisse, vol. 1, 3ème éd., 2013, n. 928).</w:t>
      </w:r>
    </w:p>
    <w:p>
      <w:r>
        <w:t>L’autorité ne doit pas non plus intervenir de manière inadmissible dans la campagne précédant une votation, en utilisant des moyens répréhensibles. Par exemple, une commune peut certes mettre en œuvre les mêmes moyens</w:t>
      </w:r>
    </w:p>
    <w:p>
      <w:r>
        <w:t>- 12/17 - A/1058/2018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qu’avait soulevées le rapport explicatif du gouvernement ne violait pas la liberté de vote (ATF 130 I 290 consid. 5.3 ; Andreas AUER/Giorgio MALINVERNI/ Michel HOTTELIER, op. cit., p. 310 s. n. 935).</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w:t>
      </w:r>
    </w:p>
    <w:p>
      <w:r>
        <w:t>b. En ce qui concerne les élections, la pratique est plus stricte qu'en matière de votations (ATF 130 I 290 consid. 3.2), et le Tribunal fédéral a exclu, en principe, l'intervention des autorités dans la campagne (ATF 124 I 55 consid. 2a ; 118 Ia 259 consid. 3c = JdT 1994 I 4 ; 117 Ia 457 = JdT 1993 I 574 ; arrêt du Tribunal fédéral 1C_522/2015 du 29 octobre 2015 consid. 4.3.2). Lors d'une élection, les autorités n'ont pas de fonction consultative comme dans le contexte d'une votation. Elles ne sont pas juridiquement tenues de participer à la campagne et d'assurer la sauvegarde de l'intérêt public tel qu'elles le conçoivent. Il faut empêcher que l'État, même indirectement, se mette au service d'intérêts partisans ; son intervention n'entre vraiment en considération que si elle apparaît</w:t>
      </w:r>
    </w:p>
    <w:p>
      <w:r>
        <w:t>- 13/17 - A/1058/2018 indispensable pour assurer une formation et une expression libres de la volonté des électeurs. Les autorités doivent se comporter de manière neutre sur le plan de la politique partisane et ne doivent pas s'identifier à des groupes ou des tendances données (ATF 124 I 55 consid. 2a ; arrêt du Tribunal fédéral 1C_522/2015 précité consid. 4.3.2).</w:t>
      </w:r>
    </w:p>
    <w:p>
      <w:r>
        <w:t>Malgré l'interdiction de principe d'intervenir dans une campagne précédant des élections, une rectification d'informations manifestement fausses diffusées pendant la campagne peut être admise ; dans une telle occasion, l'autorité ne doit pas elle-même faire de la propagande électorale ou dénigrer un candidat (ATF 113 Ia 296 = JdT 1989 I 265; 114 Ia 433 = JdT 1990 I 165). Une intervention indirecte et positive de la collectivité dans la période qui précède l'élection n'entre en considération que si elle est faite de façon neutre ; il a été jugé qu'il en était ainsi dans un cas où la collectivité avait pris en charge, au moyen de fonds publics, certains frais d'insertion dans la presse (ATF 113 Ia 294 = JdT 1989 I 264).</w:t>
      </w:r>
    </w:p>
    <w:p>
      <w:r>
        <w:t>Le Tribunal fédéral a cependant retenu que l'on pouvait attendre de l'électeur qu'il connaisse, du moins jusqu'à un certain point, les modalités d'exercice du droit de voter et d'élire ; en effet, le droit de vote confère aux électeurs la qualité d'organe de l'État, qui ne comporte pas seulement des droits, mais aussi une responsabilité, si bien que l'on peut attendre de lui qu'il soit familier du système de vote, surtout lorsqu'il est en place depuis longtemps (ATF 119 Ia 167 ; arrêt du Tribunal fédéral 1P.298/2000 précité consid. 3d = ZBl 2001 188 ; arrêt du Tribunal fédéral in ZBl 1997 254 consid. 2c et 3b).</w:t>
      </w:r>
    </w:p>
    <w:p>
      <w:r>
        <w:t>Lorsque le Tribunal fédéral constate des irrégularités telles que celles qui ont été mentionnées, il annule l'élection en appliquant les mêmes principes que lorsqu'une votation est influencée par des informations illicites. Une annulation n'est cependant ordonnée que lorsque les irrégularités constatées sont importantes et qu'elles ont pu influencer le résultat de l'élection. Le recourant n'a pas à prouver un tel effet ; il suffit qu'une influence ait été possible (ATF 118 Ia 259 consid. 3c ; arrêt du Tribunal fédéral 1C_473/2016 du 20 février 2017 consid. 2.3.2). Si les conséquences d'une irrégularité de procédure ne peuvent être calculées précisément, le Tribunal fédéral se prononce sur la base de l'ensemble des circonstances, avec un plein pouvoir d'examen. La gravité de l'irrégularité constatée, sa signification au regard du contexte global du scrutin et l'ampleur de l'écart des voix sont, notamment, des éléments décisifs. Si l'éventualité que le résultat fût différent apparaît si mince qu'elle n'entre pas sérieusement en considération, on peut renoncer à l'annulation (ATF 118 Ia 259 consid. 3c ; 117 Ia 456 = JdT 1993 I 573 ; 113 Ia 59 = JdT 1989 I 207 ; 112 Ia 338).</w:t>
      </w:r>
    </w:p>
    <w:p>
      <w:r>
        <w:t>L'intervention des autorités pendant la campagne doit être distinguée de celle de la presse, qui est notamment habilitée à commenter des sondages ou à faire des pronostics sans que cela pose un problème de liberté de vote, seules des</w:t>
      </w:r>
    </w:p>
    <w:p>
      <w:r>
        <w:t>- 14/17 - A/1058/2018 informations manifestement fausses et trompeuses pouvant éventuellement empêcher la libre formation de l'opinion des électeurs (ATF 135 I 292 consid. 4.1 ; arrêt du Tribunal fédéral 1P.390/2005 du 11 octobre 2005 consid. 2.3 ; arrêt du Tribunal administratif zurichois VB.2015.00612 du 11 novembre 2015, consid. 3.4.2).</w:t>
      </w:r>
    </w:p>
    <w:p>
      <w:r>
        <w:t>c. Au niveau cantonal, l'ancien Tribunal administratif a, en 2002, annulé une élection communale complémentaire au poste d'adjoint au maire (ATA/74/2002 du 5 février 2002) en raison d'une intervention des autorités communales dans la campagne électorale, la commune ayant envoyé aux électeurs un prospectus « tous ménages » selon lequel le maire, son adjoint et un certain nombre de conseillers municipaux, qui se prévalaient de leurs qualités, disaient appuyer sans réserve la candidature de l'une des personnes en lice ; l'irrégularité était particulièrement grave et était de nature à influencer, voire fausser, la formation de la volonté des citoyens.</w:t>
      </w:r>
    </w:p>
    <w:p>
      <w:r>
        <w:t>Dans le canton d'Argovie, il a été jugé en 2009 que l'envoi de prospectus ou de matériel de propagande électorale par les communes était interdite dans le cadre d'une élection, sans toutefois que cela aboutisse à l'annulation de l'opération électorale en cause (AGVE 2009 485).</w:t>
      </w:r>
    </w:p>
    <w:p>
      <w:r>
        <w:t>d. Enfin, la doctrine rappelle que les autorités, si elles ont l'interdiction de favoriser un ou plusieurs candidats lors d'une élection, ont en revanche l'obligation de fournir aux électeurs les listes déposées par les partis, sous forme de bulletins électoraux, ainsi que – même s'il ne s'agit plus là forcément d'une obligation, mais d'une prestation souhaitable – des explications sur le système électoral, notamment les facultés des électeurs (Ulrich HÄFELIN et al., Schweizerisches Bundesstaatsrecht, 9ème éd., 2016, n. 1390 et 1396 ; Pierre TSCHANNEN, Staatsrecht der Schweizerischen Eidgenossenschaft, 4ème éd., 2016, § 52 n. 3 et 9 ; Andreas AUER/Giorgio MALINVERNI/Michel HOTTELIER, op. cit., n. 927 et 938). 11) En droit genevois, comme déjà exposé, l’art. 54 al. 1 LEDP prévoit que les électeurs reçoivent de l’État pour les élections cantonales les bulletins électoraux et une notice explicative. La législation applicable ne donne pas plus de précisions au sujet de cette dernière et de son contenu. 12) Les recourants se plaignent du contenu de la notice explicative, plus spécifiquement de la première illustration de la p. 18 de ladite notice, telle que décrite plus haut. Ils estiment que la référence à certains candidats réels, tandis que d'autres sont absents, de même que le fait que cinq desdits candidats réels à l'élection ont leur case déjà cochée, viole la liberté de vote, ce qui justifie l'annulation des opérations électorales du 15 avril 2018.</w:t>
      </w:r>
    </w:p>
    <w:p>
      <w:r>
        <w:t>- 15/17 - A/1058/2018</w:t>
      </w:r>
    </w:p>
    <w:p>
      <w:r>
        <w:t>Il convient tout d'abord de relever qu'en matière d'élections, la notice explicative revêt moins d'importance qu'en matière de votations. En effet, il ne s'agit pas d'un texte permettant aux électeurs de se faire une idée sur le fond du scrutin, et donc de savoir pour qui ils vont voter, mais uniquement d'un descriptif technique au sujet de l'autorité devant être renouvelée et des modalités du vote.</w:t>
      </w:r>
    </w:p>
    <w:p>
      <w:r>
        <w:t>En l'espèce, l'irrégularité alléguée concerne une illustration de petite taille, en regard d'un paragraphe destiné à indiquer aux électeurs comment remplir leur bulletin, notamment pour éviter qu'il ne soit nul. Dans la version papier envoyée au corps électoral, les noms figurant sur le bulletin fictif sont si petits qu'il est extrêmement difficile de les lire à l'œil nu. Seul un grossissement de la version électronique de l'ordre de trois fois permettait de les discerner avec plus de netteté ; or cette version n'a été vue au maximum que par environ trois cents électeurs, et n'est plus disponible sur le site internet de l'État de Genève depuis le 20 mars 2018, soit le lendemain du jour où un administré a diffusé une version agrandie de l'illustration sur les réseaux sociaux. Il n'y a donc qu'un nombre très limité d'électeurs qui ait pu ne serait-ce que se rendre compte du contenu réel de l'illustration litigieuse sans être averti de sa nature.</w:t>
      </w:r>
    </w:p>
    <w:p>
      <w:r>
        <w:t>À cet égard, le même jour, soit le 20 mars 2018, la chancellerie d'État a diffusé un communiqué de presse, reconnaissant une maladresse et indiquant que le bulletin fictif litigieux avait été réalisé et produit pour des tests de lecture optique. Dès lors, le fait que la presse ait diffusé l'illustration litigieuse dans des articles des 20 et 21 mars 2018, tous postérieurs au communiqué officiel précité, ne permet pas de retenir que davantage d'électeurs aient par la suite pu être induits en erreur, ceux-ci ayant nécessairement pris connaissance également de l'information selon laquelle l'utilisation de noms candidats réels procédait d'une erreur.</w:t>
      </w:r>
    </w:p>
    <w:p>
      <w:r>
        <w:t>Enfin et surtout, l'électeur moyen et responsable ayant par hypothèse pris connaissance de ce bulletin fictif avant le 20 mars 2018 ne peut raisonnablement pas avoir considéré, au vu du contexte d'ensemble, qu'il s'agissait d'une prise de position officielle des autorités l'incitant à voter pour les candidats déjà cochés ou en passe de l'être. La taille de caractères minuscule, le placement de l'illustration en face d'une notice technique sur la façon de remplir son bulletin, voire le fait que seul un candidat sortant soit coché, tout concourait à forger l'impression - quand bien même l'utilisation de noms de candidats réels mélangés à des noms de fantaisie était étrange, et en tout cas discutable – que l'illustration ne pouvait être comprise comme une recommandation de vote visant à favoriser les cinq ou six candidats cochés au détriment des autres. Le cas se distingue ainsi très largement de celui jugé en 2002, où les autorités communales avaient clairement pris position en faveur d'un candidat.</w:t>
      </w:r>
    </w:p>
    <w:p>
      <w:r>
        <w:t>Il en résulte qu'il n'y a pas eu, malgré le caractère malencontreux du choix d'illustration opéré, de violation de la liberté de vote.</w:t>
      </w:r>
    </w:p>
    <w:p>
      <w:r>
        <w:t>- 16/17 - A/1058/2018</w:t>
      </w:r>
    </w:p>
    <w:p>
      <w:r>
        <w:t>Devrait-on considérer qu'il s'agit d'une telle violation, que celle-ci ne saurait être considérée comme suffisamment grave pour justifier l'annulation du scrutin, étant rappelé que celui-ci est joint, de par la Cst-GE, à l'élection du Grand Conseil en vertu de l'art. 102 al. 2 Cst-GE, et qu'un report des élections ne permettrait probablement pas de respecter les délais posés par la loi pour la prestation de serment et l'entrée en fonction des conseillers d'État, si bien qu'une annulation ne saurait être justifiée que par une violation très grave de la liberté de vote. 13) Les considérations qui précèdent conduisent au rejet du recours.</w:t>
      </w:r>
    </w:p>
    <w:p>
      <w:r>
        <w:t>Le prononcé du présent arrêt rend par ailleurs sans objet la demande de mesures provisionnelles contenue dans l'acte de recours.</w:t>
      </w:r>
    </w:p>
    <w:p>
      <w:r>
        <w:t>Vu l'issue du litige, un émolument de CHF 1'000.- sera mis à la charge des recourants,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