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ACST/5/2026 vom 3. Februar 2026</w:t>
      </w:r>
    </w:p>
    <w:p>
      <w:r>
        <w:t>GE Cour de justice, 2026-02-03, FR</w:t>
      </w:r>
    </w:p>
    <w:p>
      <w:r>
        <w:rPr>
          <w:b/>
        </w:rPr>
        <w:t xml:space="preserve">Quelle: </w:t>
      </w:r>
      <w:r>
        <w:t>https://mcp.opencaselaw.ch/entscheid/ge_gerichte_ACST_5_2026</w:t>
      </w:r>
    </w:p>
    <w:p>
      <w:r>
        <w:t>FR: GE_GERICHTE ACST/5/2026 du 3 février 2026</w:t>
      </w:r>
    </w:p>
    <w:p>
      <w:r>
        <w:t>IT: GE_GERICHTE ACST/5/2026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Les recourants se sont opposés à cette jonction, estimant que cette dernière conduirait à communiquer à des tiers des informations confidentielles, ce qui ne serait pas acceptable au vu de leur caractère sensible. L’intérêt privé des recourants devait l’emporter sur l’intérêt d’économie de procédure.</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 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- 6/22 -</w:t>
      </w:r>
    </w:p>
    <w:p>
      <w:r>
        <w:t>A/2868/2025</w:t>
      </w:r>
    </w:p>
    <w:p>
      <w:r>
        <w:t>En l’espèce, le recours est formellement dirigé contre onze règlements du Conseil d’État, à savoir les règlements modifiant le REP, le RCO, le RAES-II, le REST, le RFCSS, le RCFPSa, le RCFPC, le RCFPT, le RCFPSo, le RCFPA et le RCFPCom,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B______ est née en janvier 2013 et est scolarisée au cycle d’orientation du E______, tandis que son frère A______, né en septembre 2017, est scolarisé à l’école primaire de F______. En tant qu’élèves souhaitant être admis, respectivement, dans l’enseignement primaire public genevois et au secondaire II genevois, A______ et B______ sont concernés par les dispositions qu’ils contestent, lesquelles mettent fin au régime dérogatoire qui prévalait dans l’enseignement obligatoire depuis 2018 et introduisent dans l’enseignement secondaire II une condition de domicile dans le canton, ce qui conduit à leur exclusion du système d’enseignement public genevois dès la rentrée 2026, respectivement 2028. Il y a dès lors lieu de considérer que les recourants disposent de la qualité pour recourir en tant que l’objet litigieux concerne les modifications</w:t>
      </w:r>
    </w:p>
    <w:p>
      <w:r>
        <w:t>- 7/22 -</w:t>
      </w:r>
    </w:p>
    <w:p>
      <w:r>
        <w:t>A/2868/2025</w:t>
      </w:r>
    </w:p>
    <w:p>
      <w:r>
        <w:t>du REP et du RAES-II. La question de leur qualité pour recourir concernant les autres modifications réglementaires peut toutefois souffrir de rester indécise, au regard de ce qui suit.</w:t>
      </w:r>
    </w:p>
    <w:p>
      <w:r>
        <w:rPr>
          <w:b/>
        </w:rPr>
        <w:t>E. 5</w:t>
      </w:r>
    </w:p>
    <w:p>
      <w:r>
        <w:t>Le litige porte sur la conformité au droit supérieur des règlements modifiant le REP, le RCO, le RAES-II, le REST, le RFCSS, le RCFPSa, le RCFPC, le RCFPT, le RCFPSo, le RCFPA et le RCFPCom.</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w:t>
      </w:r>
    </w:p>
    <w:p>
      <w:r>
        <w:t>- 8/22 -</w:t>
      </w:r>
    </w:p>
    <w:p>
      <w:r>
        <w:t>A/2868/2025</w:t>
      </w:r>
    </w:p>
    <w:p>
      <w:r>
        <w:t>du Tribunal fédéral 2C_810/2021 du 31 mars 2023 consid. 3.2 ; ACST/14/2025 précité consid. 4.3).</w:t>
      </w:r>
    </w:p>
    <w:p>
      <w:r>
        <w:rPr>
          <w:b/>
        </w:rPr>
        <w:t>E. 6</w:t>
      </w:r>
    </w:p>
    <w:p>
      <w:r>
        <w:t>Les recourants sollicitent la production de tous les documents, toutes les statistiques et toutes les directives internes relatives à l’admission dans l’enseignement public genevois des enfants domiciliés hors canton ainsi qu’aux coûts qu’elle engendre.</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w:t>
      </w:r>
    </w:p>
    <w:p>
      <w:r>
        <w:t>- 9/22 -</w:t>
      </w:r>
    </w:p>
    <w:p>
      <w:r>
        <w:t>A/2868/2025</w:t>
      </w:r>
    </w:p>
    <w:p>
      <w:r>
        <w:t>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juin 2025, expliqué le contexte dans lequel s’inscrivait la modification des dispositions réglementaires litigieuses. Il a indiqué, dans sa duplique, les prévisions du SRED sur lesquelles il s’était fondé pour l’évaluation des effectifs des élèves prise en compte dans le cadre de l’adoption des règlements attaqués. Compte tenu de ces éléments, la chambre de céans peut statuer sur le litige en toute connaissance de cause, et notamment sur la base des éléments figurant déjà au dossier. Par ailleurs, les recourants n'expliquent pas en quoi les documents demandés apporteraient des éléments décisifs pour trancher le litige. Par conséquent, la production desdits documents n’est pas nécessaire et ne sera ainsi pas ordonnée. 7. Dans un premier grief, les recourants se plaignent d’une violation du principe de la bonne foi. 7.1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w:t>
      </w:r>
    </w:p>
    <w:p>
      <w:r>
        <w:t>- 10/22 -</w:t>
      </w:r>
    </w:p>
    <w:p>
      <w:r>
        <w:t>A/2868/2025</w:t>
      </w:r>
    </w:p>
    <w:p>
      <w:r>
        <w:t>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 7.2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 7.3 En l’espèce, la possibilité d’admettre dans le système scolaire public genevois des élèves domiciliés hors canton a été soumise à des conditions de plus en plus restrictives. 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w:t>
      </w:r>
    </w:p>
    <w:p>
      <w:r>
        <w:t>- 11/22 -</w:t>
      </w:r>
    </w:p>
    <w:p>
      <w:r>
        <w:t>A/2868/2025</w:t>
      </w:r>
    </w:p>
    <w:p>
      <w:r>
        <w:t>Les recourants ne peuvent être suivis en tant qu’ils font valoir qu’il n’existait « aucune raison ni indice » leur permettant de prévoir la décision du Conseil d’État. Même en l’absence d’une date butoir connue, il était prévisible, vu le caractère limité dans le temps des dispositions « transitoires » de 2018, qu’il serait mis fin au régime dérogatoire qui prévalait dans l’enseignement obligatoire. En outre, les recourants se plaignent que la mesure a été nouvellement étendue à l’enseignement secondaire II. Or, même si le principe de domiciliation décidé en 2018 ne concernait pas encore l’enseignement secondaire II, dès lors qu’il reflétait la volonté de « favoriser les liens sociaux de l’élève dans son quartier de résidence », il ne pouvait être considéré ni que le maintien des élèves non domiciliés dans le canton dans le système scolaire genevois était assuré, ni a fortiori que leur admission au sein de l’enseignement secondaire II était acquise. Le fait, en particulier, que le Conseil d’État ait indiqué, dans son point presse du 7 février 2018, que tous « les enfants ayant bénéficié d’une dérogation jusqu’à ce jour pourront poursuivre leur scolarité obligatoire à Genève », ou encore qu’il ait répondu à une question écrite du Grand Conseil sur ce sujet, ne donnait pas l’assurance à ceux-ci qu’ils pouvaient terminer leur scolarité à Genève, encore moins jusqu’à la fin du post-obligatoire. Outre qu’il ne s’agit pas d’une « garantie » donnée dans une situation concrète, force est de constater que les enfants concernés ont pu poursuivre leur parcours au sein de l’enseignement public genevois durant sept ans, ce jusqu’au renforcement des mesures. Ce dernier a été rendu nécessaire par un changement de circonstances, à savoir l’insuffisance des précédentes mesures au vu de l’augmentation de plus de 4’000 élèves au degré primaire et de plus de 1’000 élèves aux degrés secondaire I et II entre 2018 et 2024. Dans la mesure où les recourants se prévalent d’« informations communiquées par le personnel de l’[É]tat », il sied encore de noter que ni le corps enseignant, ni les membres du personnel du département ne sont compétents pour décider des conditions de scolarisation des élèves, de sorte que même à considérer que ceux-ci aient pu donner un quelconque renseignement, les autorités législatives et exécutives genevoises ne seraient pas liées par ce dernier. Ainsi, en procédant à la modification du REP et du RAES-II, l’intimé n’a ni agi de manière contraire au principe de la bonne foi, ni violé la garantie des droits acquis. 8. Dans un deuxième grief, les recourants font valoir que les règlements litigieux violent les principes de la proportionnalité et de l’interdiction de l’arbitraire. 8.1 Le principe de proportionnalité, garanti par l’art. 5 al. 2 Cst., exige qu’une mesure restrictive soit apte à produire les résultats escomptés (règle de l’aptitude) et que ceux-ci ne puissent être atteints par une mesure moins incisive (règle de la</w:t>
      </w:r>
    </w:p>
    <w:p>
      <w:r>
        <w:t>- 12/22 -</w:t>
      </w:r>
    </w:p>
    <w:p>
      <w:r>
        <w:t>A/2868/2025</w:t>
      </w:r>
    </w:p>
    <w:p>
      <w:r>
        <w:t>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 8.2 Quant à l’art. 9 Cst., il prévoit que toute personne a le droit d’être traitée par les organes de l’État sans arbitraire et conformément aux règles de la bonne foi. Un acte contenant des règles de droit est, selon la jurisprudence, arbitraire lorsqu’il ne repose pas sur des motifs sérieux et objectifs ou n’a ni sens ni but (ATF 150 V 73 consid. 6.2 ; 136 II 120 consid. 3.2 ; arrêt du Tribunal fédéral 2C_642/2018 du 29 mars 2019 consid. 6.2). 8.3 En l’espèce,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des enseignements primaire et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 8.4 Selon les dispositions transitoires prévues à l’art. 64 REP, les élèves qui sont domiciliés dans un autre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3). Les élèves qui sont domiciliés en France, dont l’un des parents au moins est assujetti à Genève à l’impôt sur le revenu de l’activité rémunérée qu’il exerce de manière permanente dans le canton, et qui fréquentent l’école primaire pendant l’année scolaire 2025-2026 sont autorisés à y poursuivre leur scolarité jusqu’à la fin du cycle d’enseignement en cours (élémentaire ou moyen), au sens de l’art. 60 LIP. Aucune poursuite de scolarité n’est accordée au-delà de</w:t>
      </w:r>
    </w:p>
    <w:p>
      <w:r>
        <w:t>- 13/22 -</w:t>
      </w:r>
    </w:p>
    <w:p>
      <w:r>
        <w:t>A/2868/2025</w:t>
      </w:r>
    </w:p>
    <w:p>
      <w:r>
        <w:t>cette échéance (al. 4). L’art. 23 REP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5).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 bénéficier de la réorientation prévue à l’art. 68 RAES-II pour la rentrée scolaire 2026-2027 uniquement (al. 1). Les élèves admis dans l’enseignement 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 remplissent plus les conditions de domicile de l’al. 1 sont autorisés à poursuivre leur formation jusqu’au terme de l’année scolaire en cours – prend effet le jour de la rentrée scolaire 2026-2027 (al. 3).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ou l’obtention du titre visé. En outre, pour l’enseignement secondaire II, s’il y a un échec durant l’année scolaire 2025-2026, une réorientation vers une autre filière à plein temps du secondaire II restera possible à la rentrée 2026. Enfin, ceux qui déménageraient en cours d’année pourront terminer l’année scolaire. La chambre constitutionnelle, comme déjà mentionné, n’a pas vocation à être juge de l’opportunité des actes attaqués devant elle. Il apparaît que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w:t>
      </w:r>
    </w:p>
    <w:p>
      <w:r>
        <w:t>- 14/22 -</w:t>
      </w:r>
    </w:p>
    <w:p>
      <w:r>
        <w:t>A/2868/2025</w:t>
      </w:r>
    </w:p>
    <w:p>
      <w:r>
        <w:t>Conseil d’État sera amené à se prononcer sur cette question, vu l’adoption d’une motion en ce sens par le Grand Conseil en décembre 2025. 8.5 Pour le reste, les recourants ne peuvent pas non plus être suivis lorsqu’ils se plaignent d’une manière de procéder « particulièrement choquante ». Les règlements n’ont rien d’arbitraire dès lors qu’ils reposent sur des motifs sérieux et objectifs et ont un sens et un but, lequel est lié à la gestion des effectifs scolaires et aux contraintes budgétaires. 9. Dans un troisième grief, les recourants se plaignent d’une violation du droit à un enseignement de base suffisant et gratuit et de l’intérêt supérieur de l’enfant. 9.1 À teneur de l’art. 19 Cst., le droit à un enseignement de base suffisant et gratuit est garanti. Au niveau cantonal, l’art. 24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 réglementation, de son organisation et du financement de l’enseignement public sur son territoire (ATA/460/2022 du 3 mai 2022 consid. 4). Après la scolarité obligatoire, la formation est obligatoire jusqu’à l’âge de la majorité au moins (art. 194 Cst-GE). 9.2 Selon son art. 1, la loi sur l’instruction publique du 17 septembre 2015 (LIP - C 1 10) régit l’instruction obligatoire, soit la scolarité et la formation obligatoires jusqu’à l’âge de la majorité pour l’enseignement public et privé</w:t>
      </w:r>
    </w:p>
    <w:p>
      <w:r>
        <w:t>- 15/22 -</w:t>
      </w:r>
    </w:p>
    <w:p>
      <w:r>
        <w:t>A/2868/2025</w:t>
      </w:r>
    </w:p>
    <w:p>
      <w:r>
        <w:t>(al.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 l’art. 84 al. 1 LIP, le degré secondaire II est composé des établissements scolaires du collège de Genève, du collège pour adultes, de l’école de culture générale et de l’école de culture générale pour adultes (let. a) ; du centre de formation pré-professionnelle et du service de l’accueil du degré secondaire II (let. b) ; des centres de formation professionnelles (let. c) ; des passerelles conduisant aux filière supérieures ou tertiaires (let. d). 9.3 L’art. 37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(al. 1). Les jeunes habitant le canton de Genève ont l’obligation jusqu’à l’âge de la majorité au moins d’être inscrits à une formation (al. 3). Selon l’art. 84 LIP, les établissements scolaires du collège de Genève et de l’école de culture générale et les centres de formation professionnelle dispensent à tous les jeunes gens soumis à l’obligation de formation, conformément à l’art. 37, l’enseignement leur permettant d’acquérir une première certification reconnue de formation professionnelle ou d’enseignement général (al. 2). Le centre de formation pré-professionnelle et le service de l’accueil du degré secondaire II dispensent les compléments d’enseignement nécessaires à l’admission des jeunes gens soumis à l’obligation d’instruction et de formation, selon l’art. 37, dans une filière ou une voie de formation menant à une première certification reconnue. Ces compléments d’enseignement peuvent également être dispensés dans des centres de formation professionnelle et des établissements scolaires de l’enseignement général (al. 4).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w:t>
      </w:r>
    </w:p>
    <w:p>
      <w:r>
        <w:t>- 16/22 -</w:t>
      </w:r>
    </w:p>
    <w:p>
      <w:r>
        <w:t>A/2868/2025</w:t>
      </w:r>
    </w:p>
    <w:p>
      <w:r>
        <w:t>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dans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9.4 Au niveau réglementaire, l’art. 3 al. 1 REP prévoit que l’enseignement primaire comprend huit années de scolarité réparties de la manière suivante : le cycle élémentaire qui comprend la 1re année (4 à 5 ans), la 2e année primaire (5 à 6 ans), la 3e année primaire (6 à 7 ans), la 4e année primaire (7 à 8 ans) et le cycle moyen qui comprend la 5e année primaire (8 à 9 ans), la 6e année primaire (9 à 10 ans), la 7e année primaire (10 à 11 ans) et enfin la 8e année primaire (11 à</w:t>
      </w:r>
    </w:p>
    <w:p>
      <w:r>
        <w:rPr>
          <w:b/>
        </w:rPr>
        <w:t>E. 12</w:t>
      </w:r>
    </w:p>
    <w:p>
      <w:r>
        <w:t>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9.5 L’art. 1 RAES-II énonce que le RAES-II est applicable aux élèves et apprentis souhaitant s’inscrire dans une des filières du degré secondaire II tel que défini à l’art. 4 al. 1 let. c LIP. Seuls les élèves visés à l’art. 3 al. 1 let. a RAES-II peuvent bénéficier des mesures relatives à la formation obligatoire jusqu’à 18 ans (art. 4 RAES-II), à savoir les élèves mineurs domiciliés dans le canton, dont l’un des parents est domicilié dans le canton et pourvoit à leur entretien selon la loi.</w:t>
      </w:r>
    </w:p>
    <w:p>
      <w:r>
        <w:t>- 17/22 -</w:t>
      </w:r>
    </w:p>
    <w:p>
      <w:r>
        <w:t>A/2868/2025</w:t>
      </w:r>
    </w:p>
    <w:p>
      <w:r>
        <w:t>9.6 En l’espèce, il n’est pas contesté que les recourants ont atteint un âge qui, s’ils remplissaient toutes les conditions leur permettant d’y prétendre, les destinerait à être scolarisés dans l’enseignement primaire ou secondaire II genevois. Alors que l’art. 19 Cst. garantit à chacun « un enseignement de base suffisant et gratuit », consacrant ainsi un droit social, justiciable, qui « oblige la collectivité à fournir une prestation » (Giorgio MALINVERNI/Michel HOTTELIER/ Maya HERTIG RANDALL/Alexandre FLÜCKIGER, Droit constitutionnel suisse, vol. II, 2021, n. 1709),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(Giorgio MALINVERNI/ Michel HOTTELIER/Maya HERTIG RANDALL/Alexandre FLÜCKIGER, op. cit., n. 1715). Il découle en effet de l’art. 62 al. 2 Cst., selon la jurisprudence, qu’en principe, l’enseignement doit être dispensé au lieu de domicile de l’élève (arrêt du Tribunal fédéral 2C_445/2020 du 16 mars 2021 consid. 5.2). Ainsi, sont titulaires du droit à un enseignement de base suffisant et gratuit tous les enfants domiciliés en Suisse, indépendamment de leur nationalité et du statut de résidence de leurs parents (Pascal MAHON, Droit constitutionnel, vol. II, 2015, p. 334 n. 200). Selon deux autres auteurs, la précision prévue par l’art. 62 al. 2 Cst., selon laquelle l’enseignement de base doit être ouvert à tous les enfants, visait à l’origine principalement les enfants en situation de handicap, mais elle concerne également les enfants qui séjournent illégalement sur le territoire ; par contre, il n’existe a priori pas de droit à un enseignement de base en Suisse pour les enfants qui ne résident pas dans le pays, même s’ils sont suisses et habitent juste au-delà de la frontière (Éloi JEANNERAT/Fanny MATTHEY, in Vincent MARTENET/ Jacques DUBEY [éd.], Commentaire romand – Cst., vol. I, 2021, n. 15 et note 31 ad art. 62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I (ATF 133 I 156 consid. 3.5.3 in JdT 2008 I 407 ; 140 I 153 consid. 2.3.1 ; ATA/460/2022 précité consid. 3i). La garantie de l’art. 19 Cst. appartient à tous les enfants résidant sur le territoire suisse pendant la scolarité obligatoire (Giorgio MALINVERNI/ Michel HOTTELIER/Maya HERTIG RANDALL/Alexandre FLÜCKIGER, op. cit., n. 1711). Le droit à la formation « post-obligatoire » (par exemple gymnasiale, professionnelle) a été volontairement exclu par le constituant lors de</w:t>
      </w:r>
    </w:p>
    <w:p>
      <w:r>
        <w:t>- 18/22 -</w:t>
      </w:r>
    </w:p>
    <w:p>
      <w:r>
        <w:t>A/2868/2025</w:t>
      </w:r>
    </w:p>
    <w:p>
      <w:r>
        <w:t>la révision de 1999. Des droits spéciaux à la formation – applicables à toute personne – sont parfois reconnus en droit cantonal (ATA/460/2022 précité consid. 3i). 9.7 Dans son avis de droit (p. 5 et 6), le Prof. Vincent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l’enseignement doit en principe être prodigué au lieu de domicile des élèves, et la distance géographique entre le lieu de domicile et le lieu d’enseignement ne doit pas compromettre le but poursuivi par la formation scolaire de base (ATF 129 I 12 consid. 4.2 ; arrêt du Tribunal fédéral 2C_433/2011 du 1er juin 2012 consid. 3.2). 9.8 Quant à l’art. 24 Cst-GE, rien n’indique que sa portée, s’agissant du droit à un enseignement de base suffisant et gratuit, serait plus large que celle de l’art. 19 Cst. Toutefois, cette disposition vise aussi la formation ainsi que la formation continue, contrairement à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9.9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Dans sa jurisprudence, le Comité des droits de l’enfant des Nations Unies (ci-après : ComDE) retient notamment que l'intérêt légitime de l'État partie à s'assurer que les demandeurs d'inscription scolaire résident effectivement sur son territoire ne saurait entraîner l'exclusion de facto du système éducatif, pendant une période prolongée, d'enfants qui se</w:t>
      </w:r>
    </w:p>
    <w:p>
      <w:r>
        <w:t>- 19/22 -</w:t>
      </w:r>
    </w:p>
    <w:p>
      <w:r>
        <w:t>A/2868/2025</w:t>
      </w:r>
    </w:p>
    <w:p>
      <w:r>
        <w:t>trouvent en situation administrative irrégulière (ComDE, décision du 26 janvier 2024, communication n° 165/2021, K.K. c. Espagne, § 7.10). Dans un arrêt concernant le droit de déterminer le lieu de résidence de l’enfant, le Tribunal fédéral a jugé que les difficultés inhérentes au déménagement qui étaient invoquées par l’intéressé (changement d’école, séparation des grands-parents paternels, « pratiques » et religion différentes dans le pays de destination) n’étaient d’abord pas exceptionnelles en cas de départ pour un pays éloigné et surtout n’étaient « pas sans autre de nature à mettre son fils en danger » (arrêt du Tribunal fédéral 5A_888/2023 du 5 mars 2024 consid. 5.3.1). Dans un arrêt concernant le déplacement du lieu de résidence des enfants en France, le Tribunal fédéral a relevé que la maison de l’intimée en France se situait à 150 km du lieu de vie de l’intéressé, de sorte que l’exercice régulier du droit de visite de ce dernier demeurait parfaitement réalisable « sans que les trajets imposés aux enfants nuisent à leur bien ». Quant aux « puissants efforts » évoqués par l’intéressé, on ne discernait pas très bien à quoi il se référait, dans la mesure où l’intimée entendait déménager dans un pays voisin dont la langue nationale était de surcroît la même que celle déjà pratiquée par les enfants, de sorte que la difficulté à s’adapter à un système scolaire différent n’apparaissait pas aussi grande que l’intéressé le soutenait. On ne pouvait au demeurant accorder du crédit aux remarques dépréciatives du recourant quant à la qualité de l’enseignement en France (arrêt du Tribunal fédéral 5A_690/2020 du 5 novembre 2020 consid. 3.2). 9.10 En l’espèce, les recourants ne sont pas domiciliés en Suisse. Ils ne peuvent en conséquence pas se prévaloir du droit à y recevoir un enseignement de base suffisant et gratuit. Leur nationalité n’est ici pas en cause, seul le fait qu’ils n’aient pas leur lieu de vie à Genève étant pertinent pour leur dénier ce droit. De surcroît, la titularité du droit à l’enseignement de base prend fin dès que les élèves ont terminé leur scolarité obligatoire. Pour ce motif, les élèves de l’enseignement secondaire II ne disposent pas d’un droit à un enseignement de base au sens de l’art. 19 Cst., ni ne peuvent a fortiori se plaindre de sa violation. Même à considérer que le droit cantonal reconnaîtrait l’existence d’un droit à recevoir une formation « post-obligatoire » à Genève, les recourants ne seraient pas domiciliés en Suisse et ne pourraient en conséquence pas se prévaloir de ce droit. Cette conclusion ne contrevient d’ailleurs pas à l’art. 13 par. 2 let. b du Pacte international relatif aux droits économiques, sociaux et culturels entré en vigueur pour la Suisse le 18 septembre 1992 (Pacte I - RS 0.103.1), lequel prévoit que l’enseignement secondaire doit être généralisé et rendu accessible à tous par tous les moyens appropriés. Cette disposition, selon le Tribunal fédéral, n’est pas directement justiciable et ne confère en effet aucun droit supplémentaire par</w:t>
      </w:r>
    </w:p>
    <w:p>
      <w:r>
        <w:t>- 20/22 -</w:t>
      </w:r>
    </w:p>
    <w:p>
      <w:r>
        <w:t>A/2868/2025</w:t>
      </w:r>
    </w:p>
    <w:p>
      <w:r>
        <w:t>rapport à l’art. 19 Cst. (ATF 144 I 1 consid. 2.1 ; arrêt du Tribunal fédéral 2C_433/2011 précité). Il convient de retenir qu’elle ne saurait pas non plus en conférer en ce qui concerne les élèves de l’enseignement secondaire II. On relèvera en outre que selon le Comité des droits économiques, sociaux et culturels des Nations Unies (ci-après : CDESC), au regard de l’art. 13 du Pacte I, le principe de non-discrimination « s’étend à toutes les personnes d’âge scolaire qui résident sur le territoire d’un État partie, y compris les non-nationaux, indépendamment de leur statut juridique » (CDESC, observation générale n° 13 du 8 décembre 1999, E/C.12/1999/10, § 34). Pour le même motif, la conclusion précitée n’est pas non plus contraire à l’art. 28 par. 1 let. b de la Convention relative aux droits de l’enfant du 20 novembre 1989 (CDE - RS 0.107), disposition qui prévoit que les États parties encouragent l’organisation de différentes formes d’enseignement secondaire, les rendent ouvertes et accessibles à tout enfant, et prennent des mesures appropriées. Dans sa jurisprudence, le Comité des droits de l’enfant des Nations Unies (ci-après : ComDE) retient notamment que les États ont l’obligation de respecter et de garantir le droit à l’éducation pour tous les enfants relevant de leur juridiction, sans discrimination d’aucune sorte ; la réalisation de ce droit ne peut être soumise à une appréciation discrétionnaire, au-delà de la vérification de la résidence effective (ComDE, décision du 31 mai 2021, communication n° 115/2020, H.M. c. Espagne, § 12.9). De même,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Les recourants n’expliquent par ailleurs pas en quoi le seul fait que leurs parents paient des impôts à Genève devrait leur permettre d’accéder à l’école primaire publique ou à l’enseignement secondaire II, alors qu’ils ne sont pas domiciliés dans ce canton. Le grief de violation du droit à un enseignement de base suffisant et gratuit sera en conséquence écarté. 9.11 De surcroît, l’art. 3 CDE n’est pas directement applicable, mais constitue un principe devant être pris en compte. Les recourants n’établissent pas en quoi les réglementations querellées auraient violé l’art. 3 CDE. Les recourants relèvent que dans certaines situations, les enfants seront exclus de l’établissement primaire dans lequel ils ont commencé leur scolarité. Leurs relations personnelles et interactions sociales seront également affectées, notamment leurs amitiés et activités extra-scolaires liées à l’établissement.</w:t>
      </w:r>
    </w:p>
    <w:p>
      <w:r>
        <w:t>- 21/22 -</w:t>
      </w:r>
    </w:p>
    <w:p>
      <w:r>
        <w:t>A/2868/2025</w:t>
      </w:r>
    </w:p>
    <w:p>
      <w:r>
        <w:t>Ces complications ne sont certes pas optimales, mais les difficultés usuelles, inhérentes à l’intégration dans un nouveau lieu de vie, iront en s’atténuant au fur et à mesure que les enfants créeront des attaches avec leur quartier de résidence. Ainsi, même si les modifications réglementaires attaquées imposent un changement d’école aux enfants, ces derniers ne sont pas privés de la possibilité de nouer et de développer des liens affectifs – ni de maintenir ceux existants. L’art. 3 CDE est respecté en l'espèce, les réglementations litigieuses impliquant certes un changement de lieu de scolarisation, mais n’empêchant pas les enfants d'aller à l'école. Quoi que les recourants en disent, l’on ne voit pas en quoi ceux-ci verraient leur intérêt supérieur mis en péril. Bien au contraire, seule la fréquentation de l'école de leur domicile permet aux autorités de garantir de meilleures conditions d’apprentissage pour les élèves, les autorités suisses n'ayant par ailleurs aucun moyen de contrôler ou d'imposer une scolarisation aux élèves en France. Le fait que les deux systèmes éducatifs diffèrent à de nombreux égards, par exemple sur les exigences et les pédagogies, ne signifie pas que les élèves quittent le système scolaire genevois sans pouvoir intégrer l’enseignement public français gratuit, ni que l’enseignement fourni en France ne sera pas de qualité, ce que les recourants n’allèguent du reste pas. Mal fondé, le recours sera rejeté. 10. Vu l’issue du litige, un émolument de CHF 1'300.-, comprenant les frais liés à la procédure sur effet suspensif,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