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ACST/5/2016 vom 19. Mai 2016</w:t>
      </w:r>
    </w:p>
    <w:p>
      <w:r>
        <w:t>GE Cour de justice, 2016-05-19, FR</w:t>
      </w:r>
    </w:p>
    <w:p>
      <w:r>
        <w:rPr>
          <w:b/>
        </w:rPr>
        <w:t xml:space="preserve">Quelle: </w:t>
      </w:r>
      <w:r>
        <w:t>https://mcp.opencaselaw.ch/entscheid/ge_gerichte_ACST_5_2016</w:t>
      </w:r>
    </w:p>
    <w:p>
      <w:r>
        <w:t>FR: GE_GERICHTE ACST/5/2016 du 19 mai 2016</w:t>
      </w:r>
    </w:p>
    <w:p>
      <w:r>
        <w:t>IT: GE_GERICHTE ACST/5/2016 del 19 maggio 2016</w:t>
      </w:r>
    </w:p>
    <w:p>
      <w:pPr>
        <w:pStyle w:val="Heading2"/>
      </w:pPr>
      <w:r>
        <w:t>Erwägungen</w:t>
      </w:r>
    </w:p>
    <w:p>
      <w:r>
        <w:rPr>
          <w:b/>
        </w:rPr>
        <w:t>E. 1</w:t>
      </w:r>
    </w:p>
    <w:p>
      <w:r>
        <w:t>La question de la recevabilité du recours sera en l'état réservée, et son examen reporté à l'arrêt au fond.</w:t>
      </w:r>
    </w:p>
    <w:p>
      <w:r>
        <w:rPr>
          <w:b/>
        </w:rPr>
        <w:t>E. 2</w:t>
      </w:r>
    </w:p>
    <w:p>
      <w:r>
        <w:t>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w:t>
      </w:r>
    </w:p>
    <w:p>
      <w:r>
        <w:t>- 5/8 -</w:t>
      </w:r>
    </w:p>
    <w:p>
      <w:r>
        <w:rPr>
          <w:b/>
        </w:rPr>
        <w:t>E. 3</w:t>
      </w:r>
    </w:p>
    <w:p>
      <w:r>
        <w:t>Les décisions sur mesures provisionnelles, y compris sur effet suspensif, sont prises par le président ou le vice-président ou, en cas d’urgence, par un autre juge de la chambre constitutionnelle (art. 21 al. 2 et 76 LPA).</w:t>
      </w:r>
    </w:p>
    <w:p>
      <w:r>
        <w:rPr>
          <w:b/>
        </w:rPr>
        <w:t>E. 4</w:t>
      </w:r>
    </w:p>
    <w:p>
      <w:r>
        <w:t>a. Selon l'exposé des motifs du PL 11'311 portant mise en œuvre de la Cour constitutionnelle, en matière de contrôle abstrait des normes,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w:t>
      </w:r>
    </w:p>
    <w:p>
      <w:r>
        <w:t>c. Dans la pratique du Tribunal fédéral,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w:t>
      </w:r>
    </w:p>
    <w:p>
      <w:r>
        <w:t>d. L’octroi de l'effet suspensif est possible quand bien même la L 11'724 est d'ores et déjà entrée en vigueur depuis le 1er mai 2016 (voir p. ex. l'arrêt du Tribunal fédéral 2P.94/2005 du 25 octobre 2006, dans lequel l'ordonnance présidentielle octroyant la restitution de l'effet suspensif était postérieure à l'entrée en vigueur de</w:t>
      </w:r>
    </w:p>
    <w:p>
      <w:r>
        <w:t>- 6/8 -</w:t>
      </w:r>
    </w:p>
    <w:p>
      <w:r>
        <w:t>l'acte), la restitution de l'effet suspensif signifiant alors la suspension de toute mise en application des dispositions contestées (ACST/1/2016 du 15 janvier 2016 consid. 7).</w:t>
      </w:r>
    </w:p>
    <w:p>
      <w:r>
        <w:rPr>
          <w:b/>
        </w:rPr>
        <w:t>E. 5</w:t>
      </w:r>
    </w:p>
    <w:p>
      <w:r>
        <w:t>a. En l’espèce, les recourants font valoir à l’appui de leur requête d’octroi de l’effet suspensif le souci d’éviter une période d’insécurité juridique, soit « assurer la sécurité du droit ». Or, de manière générale, la sécurité du droit relève d’un intérêt public qu’ils n’ont a priori pas vocation de défendre.</w:t>
      </w:r>
    </w:p>
    <w:p>
      <w:r>
        <w:t>b. Ils avancent également l’argument que la mise en œuvre précipitée des dispositions critiquées irait à des fins contraires aux efforts et mécanismes existants servant au maintien de la paix du travail, parce que – selon eux – elle susciterait des conflits de compétence, sources de blocages et de contentieux, au détriment de la qualité des relations entre partenaires sociaux, qui serait mise en péril par les contrôles exercés par l’IPE.</w:t>
      </w:r>
    </w:p>
    <w:p>
      <w:r>
        <w:t>Il importe de relever que les recourants ne contestent pas l’institution même de l’IPE, mais craignent que, par des interprétations ne leur paraissant pas exclues des deux dispositions contestées, les autorités considérées (l’OCIRT et l’IPE) empiètent sur les compétences des commissions paritaires prévues par les conventions collectives du travail, en violation du droit fédéral. Les excès de contrôle redoutés par les recourants n’apparaissent toutefois en l’état que très hypothétiques. Le sens des dispositions litigieuses doit, y compris au stade de leur application, être dégagé au regard des règles d’interprétation, prenant en compte notamment les travaux préparatoires et les exigences de conformité au droit supérieur. Or, l’exposé des motifs présenté à l’appui du PL 11’724 fournit des explications propres à réduire sensiblement les risques invoqués ; il indique en particulier que la collaboration prévue par l’art. 2C al. 3 concerne uniquement les domaines dans lesquels les commissions paritaires se voient confier des tâches de contrôle relevant des législations de droit public ; la notion de « conditions de travail » figurant dans cette disposition ne couvre pas le contrôle du respect des conventions collectives de travail, sous réserve des cas, se présentant alors sous un jour tout différent, dans lesquels des commissions paritaires mandateraient l’IPE pour de tels contrôles. Quant à l’art. 27 al. 2, il ne s’agit que d’une norme incitative, non coercitive, n’augurant pas d’une violation de l’autonomie des commissions paritaires.</w:t>
      </w:r>
    </w:p>
    <w:p>
      <w:r>
        <w:t>De très éventuels contentieux auxquels donneraient lieu des décisions qui seraient rendues à la suite de l’application des dispositions litigieuses pourraient être traités par les juridictions compétentes, habilitées à prendre au besoin des mesures provisionnelles. Rien de concret n’autorise à inférer de telles procédures, comme de tensions en découlant entre les parties – relevant les unes et les autres de conjectures peu probables –, que la paix du travail s’en trouverait menacée. Il pourrait en tout état être recouru aux modes amiables de règlement de conflits devenant le cas échéant collectifs, prévus tant par les conventions collectives du travail que par la législation spécifique de droit public, en particulier la loi concernant la chambre des relations collectives de travail du 29 avril 1999 (LCRCT - J 1 15). Au demeurant, le</w:t>
      </w:r>
    </w:p>
    <w:p>
      <w:r>
        <w:t>- 7/8 -</w:t>
      </w:r>
    </w:p>
    <w:p>
      <w:r>
        <w:t>soutien unanime que la modification considérée de la LIRT a obtenu au Grand Conseil atteste de la qualité des relations entre les partenaires sociaux sur le sujet considéré.</w:t>
      </w:r>
    </w:p>
    <w:p>
      <w:r>
        <w:t>c. Les recourants paraissent invoquer un intérêt financier se rapportant aux coûts que pourraient générer des procédures contentieuses dues aux contestations des éventuels contrôles de l’IPE ou à une surcharge de travail induite par les interventions de cette dernière. Un tel intérêt ne saurait revêtir un poids suffisant pour contrebalancer l’intérêt public à la mise en œuvre des dispositions considérées de la LIRT révisée.</w:t>
      </w:r>
    </w:p>
    <w:p>
      <w:r>
        <w:t>d. Il n’apparaît pour le moins pas manifeste que le recours devra être admis, et les recourants ne démontrent pas avoir un intérêt privé prépondérant à l’absence d’exécution immédiate de la L 11'724.</w:t>
      </w:r>
    </w:p>
    <w:p>
      <w:r>
        <w:t>e. Dans ces conditions, il n’y a pas lieu de s’écarter de la règle qu’un recours pour contrôle abstrait d’un acte normatif ne déploie pas d’effet suspensif.</w:t>
      </w:r>
    </w:p>
    <w:p>
      <w:r>
        <w:t>L’octroi de l’effet suspensif sera par conséquent refusé.</w:t>
      </w:r>
    </w:p>
    <w:p>
      <w:r>
        <w:rPr>
          <w:b/>
        </w:rPr>
        <w:t>E. 6</w:t>
      </w:r>
    </w:p>
    <w:p>
      <w:r>
        <w:t>Il sera statué sur les frais de la procédure en même temps que sur le recours lui- même. * * * * * *</w:t>
      </w:r>
    </w:p>
    <w:p>
      <w:r>
        <w:t>- 8/8 -</w:t>
      </w:r>
    </w:p>
    <w:p>
      <w:r>
        <w:t>PAR CES MOTIFS, LA CHAMBRE CONSTITUTIONNELLE refuse d’octroyer l’effet suspensif au recours ; réserve le sort des frais de la procédure jusqu’à droit jugé sur le recours lui-même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Wisard, avocat des recourants, au Grand Conseil ainsi que, pour information, au Conseil d'État. Le vice-président :</w:t>
      </w:r>
    </w:p>
    <w:p>
      <w:r>
        <w:t>Raphaël Martin</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