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ACST/58/2025 vom 21. November 2025</w:t>
      </w:r>
    </w:p>
    <w:p>
      <w:r>
        <w:t>GE Cour de justice, 2025-11-21, FR</w:t>
      </w:r>
    </w:p>
    <w:p>
      <w:r>
        <w:rPr>
          <w:b/>
        </w:rPr>
        <w:t xml:space="preserve">Quelle: </w:t>
      </w:r>
      <w:r>
        <w:t>https://mcp.opencaselaw.ch/entscheid/ge_gerichte_ACST_58_2025</w:t>
      </w:r>
    </w:p>
    <w:p>
      <w:r>
        <w:t>FR: GE_GERICHTE ACST/58/2025 du 21 novembre 2025</w:t>
      </w:r>
    </w:p>
    <w:p>
      <w:r>
        <w:t>IT: GE_GERICHTE ACST/58/2025 del 21 novembre 2025</w:t>
      </w:r>
    </w:p>
    <w:p>
      <w:pPr>
        <w:pStyle w:val="Heading2"/>
      </w:pPr>
      <w:r>
        <w:t>Volltext</w:t>
      </w:r>
    </w:p>
    <w:p>
      <w:r>
        <w:t>A/2870/2025 RÉPUBLIQUE ET</w:t>
      </w:r>
    </w:p>
    <w:p>
      <w:r>
        <w:t>CANTON DE GENÈVE POUVOIR JUDICIAIRE A/2870/2025-ABST ACST/58/2025</w:t>
      </w:r>
    </w:p>
    <w:p>
      <w:r>
        <w:t>COUR DE JUSTICE Chambre constitutionnelle Décision du 21 novembre 2025 sur effet suspensif</w:t>
      </w:r>
    </w:p>
    <w:p>
      <w:r>
        <w:t>dans la cause</w:t>
      </w:r>
    </w:p>
    <w:p>
      <w:r>
        <w:t>A______ et B______, agissant par leurs parents C______ et D______ E______, agissant par ses parents F______ et G______ H______ et I______, agissant par leurs parents J______ et K______ L______, agissant par sa mère M______ N______ et O______, agissant par leurs parents P______ et Q______ représentés par Me Aurélie VALLETTA et Raphaël ROUX, avocats recourants</w:t>
      </w:r>
    </w:p>
    <w:p>
      <w:r>
        <w:t>contre</w:t>
      </w:r>
    </w:p>
    <w:p>
      <w:r>
        <w:t>CONSEIL D'ÉTAT intimé</w:t>
      </w:r>
    </w:p>
    <w:p>
      <w:r>
        <w:t>_________ Recours contre les règlements modifiant le règlement de l'enseignement primaire (REP - C 1 10.21), le règlement du cycle d'orientation (RCO - C 1 10.26), le règlement de l'enseignement secondaire II et tertiaire B (REST - C 1 10.31) et le règlement relatif à l'admission dans l'enseignement secondaire II (RAES-II - C 1 10.33).</w:t>
      </w:r>
    </w:p>
    <w:p>
      <w:r>
        <w:t>- 2/5 -</w:t>
      </w:r>
    </w:p>
    <w:p>
      <w:r>
        <w:t>A/2870/2025</w:t>
      </w:r>
    </w:p>
    <w:p>
      <w:r>
        <w:t>Attendu, en fait, que : A. a. Le 18 juin 2025, le Conseil d'État a adopté des règlements modifiant onze règlements existants, à savoir : 1) règlement modifiant le règlement de l'enseignement primaire (REP - C 1 10.21) ; 2) règlement modifiant le règlement du cycle d'orientation (RCO - C 1 10.26) ; 3) règlement modifiant le règlement de l'enseignement secondaire II et tertiaire B (REST - C 1 10.31) ; 4) règlement modifiant le règlement relatif à l'admission dans l'enseignement secondaire II (RAES-II - C 1 10.33) ; 5) règlement modifiant le règlement relatif à la formation complémentaire à un titre du degré secondaire II dans le domaine de la santé (RFCSS - C 1 10.35) ; 6) règlement modifiant le règlement du centre de formation professionnelle santé (RCFPSa - C 1 10.50) : 7) règlement modifiant le règlement du centre de formation professionnelle construction (RCFPC - C 1 10.51) ; 8) règlement modifiant le règlement du centre de formation professionnelle technique (RCFPT - C 1 10.52) ; 9) règlement modifiant le règlement du centre de formation professionnelle social (RCFPSo - C 1 10.53) ; 10) règlement modifiant le règlement du centre de formation professionnelle arts (RCFPA - C 1 10.57) ; et règlement modifiant le règlement du centre de formation professionnelle commerce (RCFPCom - C 1 10.58).</w:t>
      </w:r>
    </w:p>
    <w:p>
      <w:r>
        <w:t>Ces modifications visaient à limiter, en principe et sous réserve d'exceptions spécifiques décrites, la fréquentation des établissements d'instruction publique de degré primaire, secondaire I et secondaire II aux enfants et aux jeunes résidant dans le canton de Genève. Une réglementation transitoire permettait aux enfants et aux jeunes déjà inscrits dans un cursus de le terminer. b. Les règlements précités ont été publiés dans la Feuille d’avis officielle de la République et canton de Genève (ci-après : FAO) du 24 juin 2025. L'entrée en vigueur était fixée au lendemain, mais une disposition, dans chaque règlement, prévoyait que la limitation introduite prenait effet le jour de la rentrée scolaire 2026- 2027. B. a. Par acte posté le 25 août 2025, A______ et B______, agissant par leurs parents C______ et D______, E______, agissant par ses parents F______ et G______, H______ et I______, agissant par leurs parents J______ et K______, L______, agissant par sa mère M______, et N______ et O______, agissant par leurs parents P______ et Q______, ont interjeté recours auprès de la chambre constitutionnelle de la Cour de justice (ci-après : la chambre constitutionnelle) contre les règlements précités, en particulier les règlements modifiant le REP, le RCO, le RAES-II et le REST, concluant principalement à leur annulation et à l'octroi d'une indemnité de procédure. À titre préalable, l'effet suspensif devait être octroyé à leur recours.</w:t>
      </w:r>
    </w:p>
    <w:p>
      <w:r>
        <w:t>- 3/5 - A/2870/2025</w:t>
      </w:r>
    </w:p>
    <w:p>
      <w:r>
        <w:t>À cet égard, la pesée des intérêts en présence devait conduire à octroyer l'effet suspensif au recours. En effet, les modifications voulues par le Conseil d'État auraient un effet matériel prévu pour la rentrée 2026. L'autorité ne pouvait donc pas se prévaloir d'un péril en la demeure qui serait mis à mal par l'examen de la conformité au droit des modifications réglementaires. Dans l'intervalle, il convenait de privilégier la sécurité du droit pour les familles touchées et de maintenir le régime transitoire dont elles pouvaient légitimement attendre la continuité, étant rappelé que certaines démarches pour l'inscription dans des établissements scolaires à la rentrée 2026 débutaient dès l'automne 2025.</w:t>
      </w:r>
    </w:p>
    <w:p>
      <w:r>
        <w:t>b. Le 19 septembre 2025, le Conseil d'État, soit pour lui le département de l'instruction publique, de la formation et de la jeunesse (ci-après : le département) a conclu au rejet de la demande d'effet suspensif, ainsi qu'à la jonction des causes relatives aux différents recours interjetés contre les modifications réglementaires du 18 juin 2025.</w:t>
      </w:r>
    </w:p>
    <w:p>
      <w:r>
        <w:t>Le recours n'avait pas de chances de succès manifestes. Il n'y avait pas d'urgence, dès lors que la rentrée scolaire concernée par le changement réglementaire avait lieu en août 2026, ni de dommage irréparable pour les recourants.</w:t>
      </w:r>
    </w:p>
    <w:p>
      <w:r>
        <w:t>c. Sur ce, la cause a été gardée à juger sur la question de l'effet suspensif.</w:t>
      </w:r>
    </w:p>
    <w:p>
      <w:r>
        <w:t>Considérant, en droit, que : 1. L’examen de la recevabilité du recours est reporté à l’arrêt au fond.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 art. 8 du règlement interne de la chambre constitutionnelle du 9 octobre 2020). 3. 3.1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3.2 Lorsque l’effet suspensif a été retiré ou n’est pas prévu par la loi, l’autorité de recours doit examiner si les raisons pour exécuter immédiatement la décision entreprise sont plus importantes que celles justifiant le report de son exécution. Elle</w:t>
      </w:r>
    </w:p>
    <w:p>
      <w:r>
        <w:t>- 4/5 - A/2870/2025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1er mars 2023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les règlements attaqués ne prendront effet qu'à la rentrée scolaire 2026. La chambre de céans devrait avoir rendu son arrêt sur le fond non seulement avant la date de celle-ci, mais également avant la date limite d'inscription de la plupart des cursus concernés, si bien que l'urgence ne commande en l'état pas de restituer l'effet suspensif au recours.</w:t>
      </w:r>
    </w:p>
    <w:p>
      <w:r>
        <w:t>S'agissant des chances de succès du recours, celles-ci n'apparaissent pas d'emblée manifestes. En effet, certains aspects et griefs liés au refus de scolariser à Genève les élèves ne résidant pas dans le canton ont déjà été examinés en 2019, notamment dans l'ATA/999/2019 du 11 juin 2019. Les autres questions et griefs soulevés donneront lieu à un examen approfondi, mais l'on ne saurait retenir d'emblée que la réglementation attaquée est contraire au droit supérieur.</w:t>
      </w:r>
    </w:p>
    <w:p>
      <w:r>
        <w:t>Il résulte de ce qui précède qu'il ne se justifie pas de déroger en l'espèce au principe, voulu par le législateur, d’absence d’effet suspensif dans le cadre d’un contrôle abstrait des normes, ce qui conduit au rejet de la demande d’octroi de l’effet suspensif au recours.</w:t>
      </w:r>
    </w:p>
    <w:p>
      <w:r>
        <w:t>- 5/5 - A/2870/2025 5. Il sera statué sur les frais de la présente décision avec l’arrêt à rendre au fond.</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Raphaël ROUX et Aurélie VALLETTA, avocats des recourants ainsi qu'au Conseil d'État.</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