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ACST/4/2017 vom 24. März 2017</w:t>
      </w:r>
    </w:p>
    <w:p>
      <w:r>
        <w:t>GE Cour de justice, 2017-03-24, FR</w:t>
      </w:r>
    </w:p>
    <w:p>
      <w:r>
        <w:rPr>
          <w:b/>
        </w:rPr>
        <w:t xml:space="preserve">Quelle: </w:t>
      </w:r>
      <w:r>
        <w:t>https://mcp.opencaselaw.ch/entscheid/ge_gerichte_ACST_4_2017</w:t>
      </w:r>
    </w:p>
    <w:p>
      <w:r>
        <w:t>FR: GE_GERICHTE ACST/4/2017 du 24 mars 2017</w:t>
      </w:r>
    </w:p>
    <w:p>
      <w:r>
        <w:t>IT: GE_GERICHTE ACST/4/2017 del 24 marzo 2017</w:t>
      </w:r>
    </w:p>
    <w:p>
      <w:pPr>
        <w:pStyle w:val="Heading2"/>
      </w:pPr>
      <w:r>
        <w:t>Erwägungen</w:t>
      </w:r>
    </w:p>
    <w:p>
      <w:r>
        <w:rPr>
          <w:b/>
        </w:rPr>
        <w:t>E. 1</w:t>
      </w:r>
    </w:p>
    <w:p>
      <w:r>
        <w:t>Le 13 janvier 2016, le Conseil d'état a déposé au Grand Conseil un projet de loi (ci-après : PL) visant à modifier la loi de procédure fiscale du 4 octobre 2001 (LPFisc - D 3 17) (PL 11803).</w:t>
      </w:r>
    </w:p>
    <w:p>
      <w:r>
        <w:t>Une nouvelle lettre e était ajoutée à la teneur de l'art. 34 al. 1 LPFisc (« Pour chaque période fiscale, une attestation doit être remise au département par : e) les employeurs, sur leurs prestations aux travailleurs au moyen de copies des certificats de salaire »). L'al. 2 dudit art. 34 LPFisc changeait de teneur (la nouvelle teneur étant : « Un double de l’attestation doit être adressé au contribuable pour les lettres a à d de l'alinéa 1 »), et l'al. 4 était abrogé (lequel prévoyait auparavant que : « Toutes les personnes physiques et morales qui occupent des salariés sont tenues de déclarer, lorsque la demande leur en est faite, les noms et adresses des personnes qu'elles emploient, ainsi que le montant des salaires et autres prestations versées à ces personnes »).</w:t>
      </w:r>
    </w:p>
    <w:p>
      <w:r>
        <w:t>L'art. 2 souligné fixait la date d'entrée en vigueur au 1er janvier 2017.</w:t>
      </w:r>
    </w:p>
    <w:p>
      <w:r>
        <w:rPr>
          <w:b/>
        </w:rPr>
        <w:t>E. 2</w:t>
      </w:r>
    </w:p>
    <w:p>
      <w:r>
        <w:t>Le 28 janvier 2016, le Grand Conseil a renvoyé sans débat le PL 11803 à sa commission fiscale.</w:t>
      </w:r>
    </w:p>
    <w:p>
      <w:r>
        <w:rPr>
          <w:b/>
        </w:rPr>
        <w:t>E. 3</w:t>
      </w:r>
    </w:p>
    <w:p>
      <w:r>
        <w:t>Le 23 février 2016, la commission fiscale a refusé d'entrer en matière, par</w:t>
      </w:r>
    </w:p>
    <w:p>
      <w:r>
        <w:rPr>
          <w:b/>
        </w:rPr>
        <w:t>E. 8</w:t>
      </w:r>
    </w:p>
    <w:p>
      <w:r>
        <w:t>La loi 11803 a été publiée dans la Feuille d'avis officielle de la République et canton de Genève (ci-après : FAO) du 11 novembre 2016.</w:t>
      </w:r>
    </w:p>
    <w:p>
      <w:r>
        <w:rPr>
          <w:b/>
        </w:rPr>
        <w:t>E. 9</w:t>
      </w:r>
    </w:p>
    <w:p>
      <w:r>
        <w:t>Le délai référendaire n'ayant pas été utilisé, le Conseil d'État a adopté le</w:t>
      </w:r>
    </w:p>
    <w:p>
      <w:r>
        <w:rPr>
          <w:b/>
        </w:rPr>
        <w:t>E. 11</w:t>
      </w:r>
    </w:p>
    <w:p>
      <w:r>
        <w:t>Le 2 mars 2017, le Grand Conseil a conclu au rejet de la demande d'octroi de l'effet suspensif au recours.</w:t>
      </w:r>
    </w:p>
    <w:p>
      <w:r>
        <w:t>La loi 11803 déploierait des effets pour l'immense majorité des contribuables seulement à partir du début de l'année civile 2018. Le mode de transmission électronique serait privilégié. Pour ce faire, l'administration fiscale cantonale (ci- après : AFC-GE) avait initié les travaux informatiques indispensables à la mise en œuvre de cette transmission, et avait incité les employeurs, par le biais des associations patronales, à en faire de même, des séances de coordination étant prévues au printemps 2017. Si l'effet suspensif était accordé, ces travaux pourraient difficilement être poursuivis, ce qui poserait problème si la chambre constitutionnelle rejetait le recours.</w:t>
      </w:r>
    </w:p>
    <w:p>
      <w:r>
        <w:t>Les recourants eux-mêmes reconnaissaient que rien n'indiquait que la chambre constitutionnelle ne fût pas à même de statuer à brève échéance. Même en prenant en compte une admission du recours, les intérêts des recourants seraient préservés sans</w:t>
      </w:r>
    </w:p>
    <w:p>
      <w:r>
        <w:t>- 4/6 - A/492/2017 avoir à restituer l'effet suspensif si la chambre constitutionnelle rendait son arrêt en 2017.</w:t>
      </w:r>
    </w:p>
    <w:p>
      <w:r>
        <w:rPr>
          <w:b/>
        </w:rPr>
        <w:t>E. 12</w:t>
      </w:r>
    </w:p>
    <w:p>
      <w:r>
        <w:t>Sur ce, la cause a été gardée à juger sur la question de l'effet suspensif.</w:t>
      </w:r>
    </w:p>
    <w:p>
      <w:r>
        <w:t>Considérant, en droit, que : 1.</w:t>
      </w:r>
    </w:p>
    <w:p>
      <w:r>
        <w:t>La question de la recevabilité du recours sera en l'état réservée et son examen reporté à l'arrêt au fond, étant néanmoins précisé que la capacité d'ester en justice de l'entité « A______ » apparaît en l'état douteuse.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3.</w:t>
      </w:r>
    </w:p>
    <w:p>
      <w:r>
        <w:t>Les décisions sur mesures provisionnelles, y compris sur effet suspensif, sont prises par le président ou le vice-président ou, en cas d’urgence, par un autre juge de la chambre constitutionnelle (art. 21 al. 2 et 76 LPA). 4. a. Selon l'exposé des motifs du PL 11'311 portant mise en œuvre de la Cour constitutionnelle, en matière de contrôle abstrait des normes,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- 5/6 - A/492/2017</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w:t>
      </w:r>
    </w:p>
    <w:p>
      <w:r>
        <w:t>c. 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w:t>
      </w:r>
    </w:p>
    <w:p>
      <w:r>
        <w:t>d. L’octroi de l'effet suspensif est possible quand bien même la loi 11803 est d'ores et déjà entrée en vigueur depuis le 1er janvier 2017 (voir p. ex. l'arrêt du Tribunal fédéral 2P.94/2005 du 25 octobre 2006, dans lequel l'ordonnance présidentielle octroyant la restitution de l'effet suspensif était postérieure à l'entrée en vigueur de l'acte), la restitution de l'effet suspensif signifiant alors la suspension de toute mise en application des dispositions contestées (ACST/5/2016 du 19 mai 2016 consid. 4d ; ACST/1/2016 du 15 janvier 2016 consid. 7). 5. a. En l’espèce, les recourants font valoir à l’appui de leur requête d’octroi de l’effet suspensif qu'en raison de la durée de la procédure, il y avait un risque que des employeurs soient obligés de transmettre des certificats de salaire avant que la chambre constitutionnelle ne statue. Dans un second argument, ils font valoir qu'aucun intérêt public ne s'oppose à cet octroi, rien ne permettant de penser que la taxation 2017 puisse être bloquée de ce fait.</w:t>
      </w:r>
    </w:p>
    <w:p>
      <w:r>
        <w:t>b. Force est de constater que, comme l'indique l'intimé, la réelle mise en œuvre de la novelle présentement attaquée ne commencera qu'au début de l'année civile 2018, au cours de laquelle seront rentrées puis traitées les déclarations relatives à l'exercice fiscal 2017. Dès lors, il n'y a en l'état aucune urgence qui justifierait d'accorder l'effet suspensif au présent recours, la chambre de céans étant à même de rendre son arrêt avant la fin de l'année.</w:t>
      </w:r>
    </w:p>
    <w:p>
      <w:r>
        <w:t>c. De plus, l'intimé fait valoir que l'octroi de l'effet suspensif bloquerait l'avancée des travaux préparatoires de mise en œuvre de la loi, ce qui constitue également un intérêt public s'opposant à un tel octroi dans l'intervalle.</w:t>
      </w:r>
    </w:p>
    <w:p>
      <w:r>
        <w:t>d. Dans ces conditions, il n’y a pas lieu de s’écarter de la règle qu’un recours pour contrôle abstrait d’un acte normatif ne déploie pas d’effet suspensif 6.</w:t>
      </w:r>
    </w:p>
    <w:p>
      <w:r>
        <w:t>L’octroi de l’effet suspensif sera par conséquent refusé.</w:t>
      </w:r>
    </w:p>
    <w:p>
      <w:r>
        <w:t>- 6/6 - A/492/2017 7.</w:t>
      </w:r>
    </w:p>
    <w:p>
      <w:r>
        <w:t>Il sera statué sur les frais de la procédure en même temps que sur le recours lui- même. PAR CES MOTIFS, 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des recourants, ainsi qu'au Grand Conseil.</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