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ACST/48/2025 vom 4. November 2025</w:t>
      </w:r>
    </w:p>
    <w:p>
      <w:r>
        <w:t>GE Cour de justice, 2025-11-04, FR</w:t>
      </w:r>
    </w:p>
    <w:p>
      <w:r>
        <w:rPr>
          <w:b/>
        </w:rPr>
        <w:t xml:space="preserve">Quelle: </w:t>
      </w:r>
      <w:r>
        <w:t>https://mcp.opencaselaw.ch/entscheid/ge_gerichte_ACST_48_2025</w:t>
      </w:r>
    </w:p>
    <w:p>
      <w:r>
        <w:t>FR: GE_GERICHTE ACST/48/2025 du 4 novembre 2025</w:t>
      </w:r>
    </w:p>
    <w:p>
      <w:r>
        <w:t>IT: GE_GERICHTE ACST/48/2025 del 4 novembre 2025</w:t>
      </w:r>
    </w:p>
    <w:p>
      <w:pPr>
        <w:pStyle w:val="Heading2"/>
      </w:pPr>
      <w:r>
        <w:t>Erwägungen</w:t>
      </w:r>
    </w:p>
    <w:p>
      <w:r>
        <w:rPr>
          <w:b/>
        </w:rPr>
        <w:t>E. 3</w:t>
      </w:r>
    </w:p>
    <w:p>
      <w:r>
        <w:t>Sont considérés comme des produits assimilés au tabac : b) les cigarettes électroniques, présentant un dispositif utilisé sans tabac et permettant d’inhaler de la vapeur obtenue par chauffage d’un liquide avec ou sans nicotine, ainsi que les flacons de recharge et les cartouches pour ce dispositif. Un sous-type à usage unique de ces cigarettes électroniques est dénommé « puffs ». Art. 6, al. 5 (nouveau)</w:t>
      </w:r>
    </w:p>
    <w:p>
      <w:r>
        <w:rPr>
          <w:b/>
        </w:rPr>
        <w:t>E. 3.1</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 ACST/19/2023 du 8 mai 2023 consid. 3.2).</w:t>
      </w:r>
    </w:p>
    <w:p>
      <w:r>
        <w:rPr>
          <w:b/>
        </w:rPr>
        <w:t>E. 3.2</w:t>
      </w:r>
    </w:p>
    <w:p>
      <w:r>
        <w:t>En matière de contrôle abstrait des normes, l’octroi de l’effet suspensif suppose en outre généralement que les chances de succès du recours apparaissent manifestes (ACST/9/2025 précité ;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la loi 13'580, plus précisément contre les art. 4 al. 3 let. b et 6 al. 5 LTGVEAT, soit une loi, acte visé à l’art. 57 let. d LPA, à l’encontre duquel le recours n’a pas d’effet suspensif (art. 66 al. 2 LPA). Il convient donc d’examiner s’il y a lieu de l’octroyer, ce qui, en matière de contrôle abstrait des normes, suppose en principe – et notamment – que les chances de succès du recours soient manifestes. Tel n’apparaît, sur la base d’un examen sommaire, pas être manifestement le cas. Premièrement, il n'est certes pas contestable que la question de savoir si les cantons sont compétents pour interdire la vente de « puffs », soit l'objet de l'art. 6</w:t>
      </w:r>
    </w:p>
    <w:p>
      <w:r>
        <w:t>- 5/7 -</w:t>
      </w:r>
    </w:p>
    <w:p>
      <w:r>
        <w:t>A/3377/2025</w:t>
      </w:r>
    </w:p>
    <w:p>
      <w:r>
        <w:t>al. 5 LTGVEAT, se pose. Toutefois, la réponse ne s'impose pas d'emblée et mérite un examen approfondi. En effet, en matière de droit public, dans les domaines dans lesquels le législateur fédéral a légiféré mais pas de façon exhaustive, les cantons ont la compétence d’édicter des dispositions dont les buts et les moyens convergent avec ceux que prévoit le droit fédéral (ATF 150 I 213 consid. 4.1). En outre, même si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(ATF 151 I 113 consid. 7.1.1). Or, il n'est notamment pas évident de déterminer si la LPTab, qui s’applique aux produits du tabac et aux cigarettes électroniques mis à disposition sur le marché suisse (art. 2 al. 1), s'applique également aux « puffs » et, le cas échéant, règle de façon exhaustive la question de leur éventuelle interdiction et dans quels buts. Dans ces conditions, une éventuelle compétence cantonale d'interdire la vente des puffs, même si elle se semble pas évidente, n'apparaît pas non plus d'emblée exclue. Deuxièmement, il apparaît a priori douteux que l'interdiction de vendre des « puffs » constitue une atteinte inadmissible à la liberté économique de la recourante et de ses membres. Conformément à l'art. 36 de la Constitution fédérale de la Confédération suisse du 18 avril 1999 (Cst. - RS 101), l'interdiction repose sur une base légale formelle (dans l'hypothèse où celle-ci doit être considérée comme conforme au droit fédéral) et poursuit des intérêts publics, soit la protection de la santé des consommateurs et en particulier celle des jeunes, ainsi que la préservation de l'environnement. Vu les intérêts publics en jeu, l'interdiction n'apparait pas en disproportion manifeste avec les intérêts privés de la recourante à commercialiser les « puffs », ce d'autant qu'elle peut continuer à commercialiser d'autres produits du tabac. Enfin, une violation de la liberté d'accès au marché ne s'impose pas non plus d'emblée. En effet, des restrictions à la liberté d’accès au marché sont possibles aux conditions de l'art. 3 de la loi fédérale sur le marché intérieur du 6 octobre 1995 (LMI - RS 943.02). Ces conditions semblent a priori réunies in casu. L'interdiction de vendre des « puffs » s'appliquent à tous les commerçants genevois, vise des intérêts publics et n'apparaît pas prima facie disproportionnée. Pour ces raisons, même si un grief en particulier mérite un examen approfondi, on ne saurait considérer que les chances de succès du recours apparaissent manifestes. Il n’apparaît pas non plus manifeste que l’urgence commanderait de faire droit à la requête de la recourante. Certes, une interdiction de vendre les « puffs » aura pour conséquence une diminution de son chiffre d'affaires. Toutefois, comme elle l'admet expressément, elle pourra continuer à proposer d'autres produits du tabac.</w:t>
      </w:r>
    </w:p>
    <w:p>
      <w:r>
        <w:t>- 6/7 -</w:t>
      </w:r>
    </w:p>
    <w:p>
      <w:r>
        <w:t>A/3377/2025</w:t>
      </w:r>
    </w:p>
    <w:p>
      <w:r>
        <w:t>En outre, si elle évoque notamment une diminution « significative » de son chiffre d'affaires, elle ne fournit aucune donnée chiffrée ni même une estimation des pertes prévisibles. Par ailleurs, en cas d'admission du recours, la période d'interdiction sera limitée à quelques mois et les ventes de « puffs » pourront aussitôt reprendre. L'ampleur de la perte prévisible du chiffres d'affaires, laquelle fait d'ailleurs partie du risque entrepreneurial, doit donc être relativisée pour ce motif également. Aussi, elle ne saurait primer l'intérêt public important à la préservation de la santé des administrés, en particulier celle des jeunes. Enfin, il n'est pas allégué, ni a fortiori démontré, que la recourante serait exposée à une faillite en raison de cette interdiction. Pour le surplus, la recourante allègue qu'elle devrait organiser le retrait des cigarettes électroniques jetables actuellement offertes à la vente à Genève, adapter les contrats existants avec ses partenaires commerciaux et mettre en place un dispositif permettant de garantir que ces produits ne soient pas commercialisés, sous peine de sanctions. La mise en place de ces mesures impliquerait d'effectuer plusieurs analyses juridiques, techniques et logistiques générant des coûts importants. Or, outre le fait que la recourante ne fournit aucune estimation de ces éventuels coûts, il ne s'agit que des conséquences indirectes de la mise en œuvre de la législation cantonale. Ces supposés coûts ne sont donc pas pertinents pour déterminer si la recourante subit un préjudice difficilement réparable. Il ne se justifie dès lors pas de déroger au principe voulu par le législateur d’absence d’effet suspensif dans le cadre d’un contrôle abstrait des normes, ce qui conduit au rejet de la demande d’octroi de l’effet suspensif.</w:t>
      </w:r>
    </w:p>
    <w:p>
      <w:r>
        <w:rPr>
          <w:b/>
        </w:rPr>
        <w:t>E. 5</w:t>
      </w:r>
    </w:p>
    <w:p>
      <w:r>
        <w:t>Il sera statué sur les frais liés à la présente décision avec l’arrêt au fond.</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