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ACST/44/2019 vom 20. Dezember 2019</w:t>
      </w:r>
    </w:p>
    <w:p>
      <w:r>
        <w:t>GE Cour de justice, 2019-12-20, FR</w:t>
      </w:r>
    </w:p>
    <w:p>
      <w:r>
        <w:rPr>
          <w:b/>
        </w:rPr>
        <w:t xml:space="preserve">Quelle: </w:t>
      </w:r>
      <w:r>
        <w:t>https://mcp.opencaselaw.ch/entscheid/ge_gerichte_ACST_44_2019</w:t>
      </w:r>
    </w:p>
    <w:p>
      <w:r>
        <w:t>FR: GE_GERICHTE ACST/44/2019 du 20 décembre 2019</w:t>
      </w:r>
    </w:p>
    <w:p>
      <w:r>
        <w:t>IT: GE_GERICHTE ACST/44/2019 del 20 dicembre 2019</w:t>
      </w:r>
    </w:p>
    <w:p>
      <w:pPr>
        <w:pStyle w:val="Heading2"/>
      </w:pPr>
      <w:r>
        <w:t>Erwägungen</w:t>
      </w:r>
    </w:p>
    <w:p>
      <w:r>
        <w:rPr>
          <w:b/>
        </w:rPr>
        <w:t>E. 7</w:t>
      </w:r>
    </w:p>
    <w:p>
      <w:r>
        <w:t>juin 2019 (art. 62 al. 1 let. d et al. 3 de la loi sur la procédure administrative du</w:t>
      </w:r>
    </w:p>
    <w:p>
      <w:r>
        <w:rPr>
          <w:b/>
        </w:rPr>
        <w:t>E. 12</w:t>
      </w:r>
    </w:p>
    <w:p>
      <w:r>
        <w:t>septembre 1985 - LPA - E 5 10), et il respecte les conditions de forme et de contenu prévues par les art. 64 al. 1 et 65 LPA, y compris celle d’un exposé détaillé des griefs (art. 65 al. 3 LPA). Il est donc également recevable de ce point de vue.</w:t>
      </w:r>
    </w:p>
    <w:p>
      <w:r>
        <w:t>- 15/25 - A/2592/2019 3) a. A qualité pour recourir toute personne touchée directement par une loi constitutionnelle, une loi, un règlement du Conseil d’État ou une décision et a un intérêt personnel digne de protection à ce que l’acte soit annulé ou modifié (art. 60 al. 1 let. b LPA). L’art. 60 al. 1 let. b LPA formule de la même manière la qualité pour recourir contre un acte normatif et en matière de recours ordinaire. Cette disposition ouvre ainsi largement la qualité pour recourir, tout en évitant l’action populaire, dès lors que le recourant doit démontrer qu’il est susceptible de tomber sous le coup de la loi constitutionnelle, de la loi ou du règlement attaqué (ACST/28/2019 du 21 novembre 2019 consid. 3a et la référence citée).</w:t>
      </w:r>
    </w:p>
    <w:p>
      <w:r>
        <w:t>b. En application de l’art. 111 al. 1 de la loi fédérale sur le Tribunal fédéral du</w:t>
      </w:r>
    </w:p>
    <w:p>
      <w:r>
        <w:rPr>
          <w:b/>
        </w:rPr>
        <w:t>E. 17</w:t>
      </w:r>
    </w:p>
    <w:p>
      <w:r>
        <w:t>juin 2005 (LTF - RS 173.110), le droit cantonal ne peut pas définir la qualité de partie devant l’autorité qui précède immédiatement le Tribunal fédéral de manière plus restrictive que ne le fait l’art. 89 LTF. Aux termes de cette disposition, a qualité pour former un recours en matière de droit public quiconque a pris part à la procédure devant l’autorité précédente ou a été privé de la possibilité de le faire (al. 1 let. a), est particulièrement atteint par la décision ou l’acte normatif attaqué (al. 1 let. b) et a un intérêt digne de protection à son annulation ou à sa modification (al. 1 let. c).</w:t>
      </w:r>
    </w:p>
    <w:p>
      <w:r>
        <w:t>Lorsque le recours est dirigé contre un acte normatif, la qualité pour recourir est conçue de manière plus souple et il n’est pas exigé que le recourant soit particulièrement atteint par l’acte entrepris. Ainsi, toute personne dont les intérêts sont effectivement touchés par l’acte attaqué ou pourront l’être un jour a qualité pour recourir ; une simple atteinte virtuelle suffit, à condition toutefois qu’il existe un minimum de vraisemblance que le recourant puisse un jour se voir appliquer les dispositions contestées (ATF 145 I 26 consid. 1.2 ; arrêt du Tribunal fédéral 2C_752/2018 du 29 août 2019 consid. 1.2).</w:t>
      </w:r>
    </w:p>
    <w:p>
      <w:r>
        <w:t>La qualité pour recourir suppose en outre un intérêt actuel à obtenir l’annulation de l’acte entrepris, cet intérêt devant exister tant au moment du dépôt du recours qu’au moment où l’arrêt est rendu (ATF 142 I 135 consid. 1.3.1 ; ACST/22/2019 précité consid. 3b).</w:t>
      </w:r>
    </w:p>
    <w:p>
      <w:r>
        <w:t>c. En l’espèce, en tant qu’employeur affilié à la caisse, le recourant est directement concerné par la disposition litigieuse, qui lui impose un apport d’actifs au prorata des engagements de ses membres salariés en vue d’une recapitalisation de la CPEG. Il a dès lors qualité pour recourir. 4)</w:t>
      </w:r>
    </w:p>
    <w:p>
      <w:r>
        <w:t>À l’instar du Tribunal fédéral, la chambre constitutionnelle, lorsqu’elle se prononce dans le cadre d’un contrôle abstrait des normes, s’impose une certaine retenue et n’annule les dispositions attaquées que si elles ne se prêtent à aucune interprétation conforme au droit ou si, en raison des circonstances, leur teneur fait craindre avec une certaine vraisemblance qu’elles soient interprétées ou appliquées de façon contraire au droit supérieur. Pour en juger, il lui faut</w:t>
      </w:r>
    </w:p>
    <w:p>
      <w:r>
        <w:t>- 16/25 - A/2592/2019 notamment tenir compte de la portée de l’atteinte aux droits en cause, de la possibilité d’obtenir ultérieurement, par un contrôle concret de la norme, une protection juridique suffisante et des circonstances dans lesquelles ladite norme serait appliquée. Le juge constitutionnel doit prendre en compte dans son analyse la vraisemblance d’une application conforme – ou non – au droit supérieur. Les explications de l’autorité sur la manière dont elle applique ou envisage d’appliquer la disposition mise en cause doivent également être prises en considération. Si une réglementation de portée générale apparaît comme défendable au regard du droit supérieur dans des situations normales, telles que le législateur pouvait les prévoir, l’éventualité que, dans certains cas, elle puisse se révéler inconstitutionnelle ne saurait en principe justifier une intervention du juge au stade du contrôle abstrait (ATF 145 I 26 consid. 1.4 ; arrêt du Tribunal fédéral 2C_752/2018 précité consid. 2 ; ACST/38/2019 du 21 novembre 2019 consid. 5). 5) a. Selon le recourant, l’art. 70 al. 3 let. a et al. 4 cum annexe II LCPEG serait contraire à la LPP, qui l’emporterait sur le droit cantonal en application de l’art. 49 al. 1 de la Constitution fédérale de la Confédération suisse du 18 avril 1999 (Cst. - RS 101).</w:t>
      </w:r>
    </w:p>
    <w:p>
      <w:r>
        <w:t>b. En vertu du principe de la primauté du droit fédéral ancré à l’art. 49 al. 1 Cst., les cantons ne sont pas autorisés à légiférer dans les matières exhaustivement réglementées par le droit fédéral. Dans les autres domaines, ils peuvent édicter des règles de droit pour autant qu’elles ne violent ni le sens ni l’esprit du droit fédéral, et qu’elles n’en compromettent pas la réalisation. Cependant, même si la législation fédérale est considérée comme exhaustive dans un domaine donné, une loi cantonale peut subsister dans le même domaine en particulier si elle poursuit un autre but que celui recherché par le droit fédéral. Ce n’est que lorsque la législation fédérale exclut toute réglementation dans un domaine particulier que le canton perd toute compétence pour adopter des dispositions complétives, quand bien même celles-ci ne contrediraient pas le droit fédéral ou seraient même en accord avec celui-ci (145 IV 10 consid. 2.1 et les références citées).</w:t>
      </w:r>
    </w:p>
    <w:p>
      <w:r>
        <w:t>c. L’art. 113 Cst. prévoit la compétence, non limitée aux principes (ATF 130 V 369 consid. 6.1), de la Confédération en matière de prévoyance professionnelle, sur laquelle celle-ci légifère (al. 1). Ce faisant, elle respecte les principes suivants (al. 2) : le maintien de manière appropriée du niveau de vie antérieur (let. a) ; son caractère obligatoire pour les salariés (let. b) ; l’assurance par l’employeur de ses salariés auprès d’une institution de prévoyance, au besoin fédérale (let. c) ; la possibilité d’assurance pour les personnes exerçant une activité indépendante (let. d) ; la rendre obligatoire pour certaines catégories de personnes (let. e). La prévoyance professionnelle est financée par les cotisations des assurés ; lorsque l’assuré est salarié, l’employeur prend à sa charge au moins la moitié du montant de la cotisation (al. 3). Les institutions de prévoyance doivent satisfaire aux exigences minimales fixées par le droit fédéral ;</w:t>
      </w:r>
    </w:p>
    <w:p>
      <w:r>
        <w:t>- 17/25 - A/2592/2019 la Confédération peut, pour résoudre des problèmes particuliers, prévoir des mesures s’appliquant à l’ensemble du pays (al. 4).</w:t>
      </w:r>
    </w:p>
    <w:p>
      <w:r>
        <w:t>Sur cette base, la Confédération a notamment adopté la LPP, une loi-cadre qui fixe des exigences minimales en matière de prévoyance professionnelle et laisse une certaine autonomie aux institutions de prévoyance (cf. art. 6, 49 al. 1 et 50 LPP ; Bernhard WALDMANN/Eva Maria BELSER/Astrid ÉPINEY (éd.), Bundesverfassung – Basler Kommentar, 2015, n. 26 ad art. 113 Cst.).</w:t>
      </w:r>
    </w:p>
    <w:p>
      <w:r>
        <w:t>d. La quatrième partie de la LPP règle le financement des institutions de prévoyance. Aux termes des dispositions générales en la matière, les institutions de prévoyance doivent offrir en tout temps la garantie qu’elles peuvent remplir leurs engagements (art. 65 al. 1 LPP). Selon l’art. 65c LPP, une dérogation à ce principe et, partant, un découvert limité dans le temps, est toutefois autorisé (al. 1) s’il est garanti que les prestations peuvent être fournies dès qu’elles sont exigibles (let. a), l’institution de prévoyance prend des mesures pour résorber le découvert (let. b). L’art. 65d LPP prévoit que l’institution de prévoyance doit résorber elle- même le découvert, le fonds de garantie n’intervenant que lorsqu’elle est insolvable (al. 1). Tant que dure le découvert, l’institution de prévoyance peut décider d’appliquer (al. 3) : le prélèvement auprès de l’employeur et des salariés de cotisations destinées à résorber le découvert, la cotisation de l’employeur devant alors être au moins aussi élevée que la somme des cotisations des salariés (let. a), le prélèvement auprès des bénéficiaires de rente d’une contribution destinée à résorber le découvert (let. b). Si ces mesures se révèlent insuffisantes, l’institution de prévoyance peut décider d’appliquer tant que dure le découvert et pendant cinq ans au plus une rémunération inférieure à celle prévue (al. 4). L’art. 65d LPP ne porte que sur les mesures destinées à résorber un découvert illicite et qui, sous réserve d’un découvert limité dans le temps, doit être résorbé par l’institution de prévoyance elle-même (arrêt du Tribunal fédéral 9C_78/2007 du 15 janvier 2008 consid. 6.6).</w:t>
      </w:r>
    </w:p>
    <w:p>
      <w:r>
        <w:t>e. L’art. 72a LPP règle le financement des IPDP en capitalisation partielle et prévoit que celles ne satisfaisant pas aux exigences en matière de capitalisation complète au 1er janvier 2012, tout en bénéficiant de la garantie de l’État, peuvent, avec l’accord de l’autorité de surveillance, déroger au principe de la capitalisation complète (capitalisation partielle) lorsqu’un plan de financement permet d’assurer à long terme leur équilibre financier. Ce plan de financement garantit notamment (al. 1) : la couverture intégrale des engagements pris envers les rentiers (let. a), le maintien des taux de couverture au moins à leur valeur initiale pour l’ensemble des engagements de l’institution de prévoyance, ainsi que pour les engagements envers les assurés actifs, jusqu’à l’atteinte de la capitalisation complète (let. b), un taux de couverture des engagements totaux pris envers les rentiers et les assurés actifs d’au moins 80 % (let. c), le financement intégral de toute augmentation des prestations par la capitalisation (let. d). L’autorité de surveillance contrôle le plan</w:t>
      </w:r>
    </w:p>
    <w:p>
      <w:r>
        <w:t>- 18/25 - A/2592/2019 de financement et approuve la poursuite de la gestion de l’institution de prévoyance selon le système de la capitalisation partielle. Elle veille à ce que le plan de financement prévoie le maintien des taux de couverture acquis (al. 2).</w:t>
      </w:r>
    </w:p>
    <w:p>
      <w:r>
        <w:t>Selon l’art. 72c al. 1 LPP, il y a garantie de l’État quand la corporation de droit public s’engage à couvrir les prestations de l’IPDP ci-après, dans la mesure où elles ne sont pas entièrement financées sur la base des taux de couverture initiaux : prestations de vieillesse, de risque et de sortie (let. a), prestations de sortie dues à l’effectif d’assurés sortants en cas de liquidation partielle (let. b), découverts techniques affectant l’effectif d’assurés restants en cas de liquidation partielle (let. c).</w:t>
      </w:r>
    </w:p>
    <w:p>
      <w:r>
        <w:t>L’IPDP fait vérifier périodiquement par l’expert que son équilibre financier est garanti à long terme dans le système de la capitalisation partielle et que le plan de financement visé à l’art. 72a al. 1 LPP est respecté (art. 72d LPP). Les IPDP n’atteignant pas le taux de couverture minimal de 80 % lui soumettent tous les cinq ans un plan visant à leur permettre de l’atteindre d’ici au 1er janvier 2052 (let. c des dispositions transitoires ad art. 72a LPP).</w:t>
      </w:r>
    </w:p>
    <w:p>
      <w:r>
        <w:t>Est réputé initial le taux de couverture existant au 1er janvier 2012 (art. 72b al. 1 LPP). Lorsqu’un taux de couverture initial au sens de l’art. 72a al. 1 let. b n’est plus atteint, l’IPDP doit prendre les mesures prévues aux art. 65c à 65e LPP (art. 72e LPP). En cas de passage à la capitalisation complète, le financement des IPDP est régi par les art. 65 à 72 dès qu’elles en remplissent les exigences (art. 72f al. 1 LPP).</w:t>
      </w:r>
    </w:p>
    <w:p>
      <w:r>
        <w:t>Chaque IPDP partiellement capitalisée dispose de quarante ans pour parvenir à une capitalisation complète et décide elle-même comment elle entend se financer et sur combien de temps (Message du Conseil fédéral relatif à la modification de la LPP du 19 septembre 2008, FF 2008 7619, p. 7650). Les IPDP dont la situation financière se dégrade durant la période de recapitalisation doivent prendre les mesures propres à rétablir l’équilibre, les mesures possibles étant notamment l’adaptation de la cotisation ordinaire, la limitation de l’adaptation des rentes en cours au renchérissement ou un financement complémentaire dans ce but, la réduction du niveau des prestations, l’amélioration des stratégies de placement, la requête d’un versement unique de la part de la corporation de droit public, l’introduction d’une cotisation d’assainissement temporaire ou encore l’instauration d’une garantie de rendement accordée par la corporation de droit public (Message, op. cit., p. 7651). Les IPDP disposent ainsi de plusieurs possibilités pour atteindre le taux de financement requis, l’important étant qu’elles visent une capitalisation complète et adoptent des mesures lorsque leur taux de financement se dégrade (Message, op. cit., p. 7654).</w:t>
      </w:r>
    </w:p>
    <w:p>
      <w:r>
        <w:t>f. L’art. 50 LPP traite des dispositions réglementaires et prévoit que les institutions de prévoyance établissent des dispositions sur les prestations,</w:t>
      </w:r>
    </w:p>
    <w:p>
      <w:r>
        <w:t>- 19/25 - A/2592/2019 l’organisation, l’administration et le financement, le contrôle et les rapports avec les employeurs, les assurés et les ayants droit (al. 1). Ces dispositions peuvent figurer dans l’acte constitutif. S’il s’agit d’une IPDP, les dispositions concernant soit les prestations, soit le financement peuvent être édictées par la corporation de droit public concernée (al. 2). À Genève, la CPEG fixe les dispositions générales, communes et particulières s’appliquant aux prestations, dans le cadre du financement fixé par l’État (art. 22 LCPEG).</w:t>
      </w:r>
    </w:p>
    <w:p>
      <w:r>
        <w:t>La liberté d’organisation des cantons est limitée par le droit fédéral, qui prescrit la forme juridique et une certaine autonomie des IPDP. Toutefois, la LPP, une loi-cadre prévoyant des prestations minimales, octroie une grande liberté de décision et d’organisation dans l’exécution de la prévoyance professionnelle. Dès lors, les législatifs et exécutifs cantonaux et communaux doivent conserver la possibilité d’exercer une certaine influence sur le financement ou les prestations de l’IPDP de leur collectivité, en édictant des actes législatifs. Les pouvoirs législatifs ou exécutifs devraient toutefois se limiter à agir sur l’un des deux paramètres (financement ou prestations), afin que l’organe suprême de l’IPDP ait la possibilité et la responsabilité de fixer en toute souplesse l’autre paramètre pour garantir la sécurité financière de l’institution (Message, op. cit., p. 7673). 6)</w:t>
      </w:r>
    </w:p>
    <w:p>
      <w:r>
        <w:t>En l’espèce, à la suite de divers événements (introduction des taux négatifs par la BNS et baisses du taux d’intérêt technique), l’expert agréé de la CPEG a constaté, en fin d’année 2016, que celle-ci ne serait pas en mesure de respecter son chemin de croissance à long terme, tel que fixé par la LCPEG, en vue d’atteindre un taux de couverture de 80 % au 1er janvier 2052 imposé par l’art. 72a LPP, si des mesures structurelles importantes n’étaient pas prises touchant aux prestations et/ou au financement. À la même époque, le taux de couverture de la CPEG n’était ainsi que de 57,4 %, alors qu’il devait atteindre au moins 60 % au 1er janvier 2020. La CPEG a alors adopté, dans son domaine de compétence, une première mesure, consistant à élever l’âge pivot, ce qui a conduit à une réduction de 5 % des prestations. Au printemps 2017, la CPEG a adopté un deuxième volet de mesures qui prévoyait une réduction du taux de pension, dont elle a souhaité différer l’entrée en vigueur au vu de la réduction supplémentaire de 10 % des prestations qu’elles impliquaient. C’est pour éviter une nouvelle baisse des prestations et surtout pour rétablir l’équilibre financier à long terme, afin d’atteindre une capitalisation à 80 % telle qu’exigée par le droit fédéral, que la question d’une recapitalisation de la CPEG s’est posée, étant précisé que la prise de mesures revêtait une certaine urgence étant donné que l’ASFIP devait renouveler son autorisation de fonctionner en capitalisation partielle. Les mesures envisagées se situent ainsi dans le contexte des art. 72a ss LPP, et non pas dans celui d’un découvert, situation envisagée à l’art. 65d LPP, applicable aux IPDP par le renvoi des art. 72e et 72f LPP, dès lors que la CPEG a maintenu ses taux de couverture au moins à leur valeur initiale, ni, par voie de conséquence, dans une situation ayant nécessité d’actionner la garantie de l’État (art. 72c LPP).</w:t>
      </w:r>
    </w:p>
    <w:p>
      <w:r>
        <w:t>- 20/25 - A/2592/2019</w:t>
      </w:r>
    </w:p>
    <w:p>
      <w:r>
        <w:t>C’est par conséquent dans le contexte du maintien de la CPEG en capitalisation partielle et du respect, à cette fin, de son chemin de croissance, que des mesures devaient être prises, dans le cadre de l’art. 72a LPP. Même si cette disposition, ainsi que la disposition transitoire y relative, n’indique pas les moyens en vue d’y parvenir, une telle situation ne préjuge pas pour autant de l’absence de compétence du législatif en cette matière. Outre le fait que le financement de l’IPDP est du ressort de la corporation de droit public (art. 50 al. 2 LPP et 22 LCPEG), qui bénéficie à ce titre d’une marge de manœuvre étendue d’un point de vue organisationnel (Message, op. cit., p. 7673), les mesures à prendre en cas de dégradation de la situation financière durant la période de recapitalisation peuvent également être de différentes natures, comme l’a indiqué le Conseil fédéral dans son message (Message, op. cit., p. 7651), mentionnant, de manière non exhaustive, tant la réduction du niveau des prestations par l’IPDP que la requête d’un versement unique de la part de l’État. Or, dans le cas de la CPEG, la marge de manœuvre de celle-ci était limitée, dès lors que les deux mesures qu’elle a prises n’étaient pas à même de rétablir son équilibre financier à long terme, comme l’a relevé l’expert agréé et l’ASFIP, de sorte que seul le recours à un versement unique pouvait encore être envisagé, dont les modalités devaient être arrêtées par l’État, seul compétent en matière de financement.</w:t>
      </w:r>
    </w:p>
    <w:p>
      <w:r>
        <w:t>Conformément à ce qui précède, rien ne permet, comme le soutient le recourant sans d’ailleurs le démontrer, d’admettre que les seules mesures envisageables dans la présente situation auraient été celles mentionnées à l’art. 65d LPP, en l’absence de tout renvoi à cette disposition aux art. 72a ss LPP (hormis ceux des art. 72e et 72f LPP) en matière de recapitalisation. À cela s’ajoute que, même si elle dispose d’une compétence concurrente non limitée aux principes en matière de prévoyance professionnelle, la Confédération n’a pas épuisé la matière mais s’est limitée à fixer des principes dans la LPP, laissant une compétence législative résiduelle importante aux cantons, notamment en matière d’organisation ainsi que de financement. Le législateur, en adoptant la loi 12228, à savoir une base légale formelle et matérielle, soumise au référendum, pouvait ainsi procéder à la recapitalisation de la CPEG afin qu’elle respecte son chemin de croissance pour atteindre progressivement un taux de capitalisation de 80 %. L’on ne voit pas en quoi une telle capitalisation serait abrupte, puisqu’elle s’effectue sur le long terme. Par ailleurs, en tant que l’argumentation du recourant se fonde sur les causes du manque de capitalisation de la CPEG, elle n’est pas de nature à remettre en cause le choix opéré par le législateur cantonal dans son domaine de compétence, que la chambre de céans ne saurait revoir. En outre, le fait que le recourant se soit, lors de son affiliation en tant qu’employeur externe, à la CEH puis à la CPEG, acquitté de prestations de libre passage est sans lien avec l’apport prévu par l’art. 70 al. 3 let. a LCPEG, lequel est destiné à recapitaliser la CPEG.</w:t>
      </w:r>
    </w:p>
    <w:p>
      <w:r>
        <w:t>À cela s’ajoute que les employeurs concernés, qu’il s’agisse de l’État ou des employeurs externes affiliés sur une base volontaire à la CPEG, profitent</w:t>
      </w:r>
    </w:p>
    <w:p>
      <w:r>
        <w:t>- 21/25 - A/2592/2019 directement de sa recapitalisation, en lui garantissant de manière générale une pérennité financière à long terme, de façon à conserver l’autorisation de fonctionner en capitalisation partielle jusqu’à l’atteinte du taux de couverture de 80 %, lui éviter de tomber sous le seuil initial et empêcher la prise de mesures plus drastiques, notamment au niveau des prestations. Le fait que le degré de couverture du personnel actif du recourant soit de 0 % n’y change rien, puisqu’il l’est de manière générale pour tous les employeurs affiliés, y compris l’État - ce qui constitue d’ailleurs l’un des problèmes de la CPEG -, le taux de couverture des pensionnés étant, quant à lui, de 100 %.</w:t>
      </w:r>
    </w:p>
    <w:p>
      <w:r>
        <w:t>Il s’ensuit que ce grief sera écarté. 7) a. Le recourant soutient que la disposition litigieuse serait constitutive d’une inégalité de traitement, serait arbitraire et contraire au principe de proportionnalité. Ce dernier principe n’étant toutefois pas érigé en droit constitutionnel indépendant et, en l’absence de toute atteinte à un droit fondamental, son examen se confond avec le grief d’arbitraire (ATF 141 I 1 consid. 5.3.2 et les références citées).</w:t>
      </w:r>
    </w:p>
    <w:p>
      <w:r>
        <w:t>b. Un arrêté de portée générale viole le principe de l’égalité de traitement consacré à l’art. 8 al. 1 Cst. lorsqu’il établit des distinctions juridiques qui ne se justifient par aucun motif raisonnable au regard de la situation de fait à réglementer ou qu’il omet de faire des distinctions qui s’imposent au vu des circonstances. Il faut que le traitement différent ou semblable injustifié se rapporte à une situation de fait importante. Le législateur dispose d’un large pouvoir d’appréciation dans le cadre de ces principes (ATF 145 I 73 consid. 5.1 et les références citées).</w:t>
      </w:r>
    </w:p>
    <w:p>
      <w:r>
        <w:t>c. Un acte normatif viole le principe de l’interdiction de l’arbitraire (art. 9 Cst.) s’il ne repose pas sur des motifs objectifs sérieux ou s’il est dépourvu de sens et de but. Le législateur, organe politique soumis à un contrôle démocratique, doit se voir reconnaître une grande liberté dans l’élaboration des lois, les autorités judiciaires n’ayant pas à revoir l’opportunité des choix effectués dans ce cadre et ne devant pas annuler une disposition légale au motif que d’autres solutions paraîtraient envisageables, voire même préférables (ATF 136 I 241 consid. 3.1 ; arrêt du Tribunal fédéral 2C_773/2017 du 13 mai 2019 consid. 5.2).</w:t>
      </w:r>
    </w:p>
    <w:p>
      <w:r>
        <w:t>d. En l’espèce, il n’est pas contesté que le recourant est un employeur externe non subventionné. N'est pas déterminant le fait qu’il poursuive, du point de vue fiscal, une activité sans but lucratif, ce qui ne signifie du reste pas qu’il ne perçoit aucun revenu, comme l’attestent les états financiers versés au dossier.</w:t>
      </w:r>
    </w:p>
    <w:p>
      <w:r>
        <w:t>Cela étant, ce n’est pas en fonction du revenu perçu ou de la question de savoir si l’entité en cause avait les moyens de s’acquitter d’un montant déterminé, même si une telle situation a été évoquée s’agissant de l’aéroport, au demeurant</w:t>
      </w:r>
    </w:p>
    <w:p>
      <w:r>
        <w:t>- 22/25 - A/2592/2019 amené à prendre en charge la plus grande partie des coûts de recapitalisation des employeurs externes, que le législateur a opéré une distinction, contrairement aux discussions qui ont eu lieu dans le cadre du PL 10847, mais du statut d’entité subventionnée ou non, seules ces dernières, de même que l’État, étant amenées à participer formellement à la recapitalisation. En effet, une telle distinction repose sur des motifs objectifs et raisonnables, ces deux types d’entités – subventionnées ou non – ne se trouvant pas dans une situation identique, le mécanisme de leur participation à la recapitalisation ne devant pas non plus l’être. En outre, tandis que les entités non subventionnées s’acquittent d’un certain montant en vue de cette recapitalisation, la part due par les entités subventionnées est prise en charge par l’État, lequel réduit néanmoins le montant des subventions, ce qui ressort des travaux législatifs des différents PL.</w:t>
      </w:r>
    </w:p>
    <w:p>
      <w:r>
        <w:t>Le législateur n’a pas non plus souhaité opérer de distinction entre les entités non subventionnées en fonction de leurs capacités financières, mais a subordonné leur contribution au prorata de leurs engagements, ce qui rend du reste sans objet le grief du recourant à ce titre, notamment sa comparaison avec l’aéroport, qui supporte d’ailleurs une grande part du montant dû par les employeurs externes. Le législateur disposait du reste d’une marge de manœuvre importante dans le choix des entités en cause, qu’il n’appartient pas à la chambre de céans de critiquer.</w:t>
      </w:r>
    </w:p>
    <w:p>
      <w:r>
        <w:t>C’est le lieu de rappeler que le recourant s’est affilié à la CEH puis à la CPEG qui lui a succédé de manière volontaire et sur la base d’une convention d’affiliation qui réservait, de manière admissible (cf. ATF 134 I 23 consid. 7.2), l’adoption, la modification et l’abrogation unilatérale des lois et des règlements par les autorités compétentes. Le fait qu’il n’ait pas été mis à contribution lors de la création de la CPEG en tant qu’employeur externe affilié à la CEH ne constituait au demeurant pas une garantie ni même une promesse qu’il ne serait jamais amené à contribuer à la recapitalisation de la caisse dans le futur, risque qu’il ne pouvait ignorer. Il savait également qu’en cas de sortie de la caisse, un montant important restait dû à celle-ci au titre de la liquidation partielle, de sorte qu’il ne saurait à présent s’en prévaloir pour contester la disposition litigieuse, clause contractuelle qu’il n’appartient au demeurant pas à la chambre de céans de contrôler dans le cadre du présent recours.</w:t>
      </w:r>
    </w:p>
    <w:p>
      <w:r>
        <w:t>Le montant dû par le recourant, tel qu’estimé, est certes important, au regard de ses revenus annuels. Il n’en demeure pas moins que ses charges salariales le sont également et représentent un poste important dans son budget. Le recourant ayant été tenu informé des différents projets, il n’ignorait pas qu’il serait amené à contribuer à la recapitalisation de la CPEG, de sorte qu’il lui appartenait de provisionner les montants en cause, tant le Conseil d’État que le législateur ayant laissé entendre que des modalités de paiement étaient envisageables, notamment par le recours à un prêt. Le recourant ne peut dès lors se prévaloir d’une inégalité</w:t>
      </w:r>
    </w:p>
    <w:p>
      <w:r>
        <w:t>- 23/25 - A/2592/2019 de traitement par rapport à l’État, dont le principe d’un prêt figure dans la loi 12228, puisqu’une telle possibilité peut aussi lui être offerte.</w:t>
      </w:r>
    </w:p>
    <w:p>
      <w:r>
        <w:t>e. Pour les mêmes motifs que ceux ci-dessus mentionnés, le grief tiré de la violation de l’interdiction de l’arbitraire soulevé par le recourant est mal fondé. Le but de la loi 12228 et de la disposition contestée est de permettre à la CPEG d’augmenter son degré de capitalisation, ce qui constitue un motif objectif et raisonnable, qui s’inscrit dans la ligne des préoccupations exprimées par le législateur fédéral à l’art. 72a LPP. La disposition attaquée n’est pas non plus, en soi, arbitraire, au motif qu’elle fait participer le recourant à cette recapitalisation, une telle mesure, outre le fait qu’elle repose sur un choix d’ordre politique opéré par le législateur cantonal que la chambre de céans ne saurait revoir, vise tous les employeurs affiliés, selon les modalités précédemment rappelées. Par ailleurs, la disposition contestée ne saurait être annulée pour le motif qu’une autre solution aurait été possible, qu’un autre canton ou la Confédération connaîtrait une réglementation différente, que la contribution financière des employeurs affiliés aurait par le passé déjà été sollicitée ou que le manque de capitalisation de la CPEG résulterait de décisions politiques antérieures indépendantes de la volonté du recourant. Il s’ensuit que ce grief sera écarté. 8) a. Le recourant se plaint d’une violation de la garantie de la propriété sous l’angle de l’interdiction de l’imposition confiscatoire.</w:t>
      </w:r>
    </w:p>
    <w:p>
      <w:r>
        <w:t>b. En vertu de l’art. 26 al. 1 Cst., la propriété est garantie. En matière fiscale, ce droit ne va toutefois pas au-delà de l’interdiction d’une imposition confiscatoire. Ainsi, une prétention fiscale ne doit pas porter atteinte à l’essence même de la propriété privée et il incombe au législateur de conserver la substance du patrimoine du contribuable et de lui laisser la possibilité d’en former un nouveau. Pour juger si une imposition a un effet confiscatoire, le taux de l’impôt exprimé en pour cent n’est pas seul décisif. Il faut examiner la charge que représente l’imposition sur une assez longue période, en faisant abstraction des circonstances extraordinaires ; à cet effet, il convient de prendre en considération l’ensemble des circonstances concrètes, la durée et la gravité de l’atteinte ainsi que le cumul avec d’autres taxes ou contributions et la possibilité de reporter l’impôt sur d’autres personnes (ATF 143 I 73 consid. 5.1 et les références citées).</w:t>
      </w:r>
    </w:p>
    <w:p>
      <w:r>
        <w:t>c. En l’espèce, il ressort des développements qui précèdent que, même si l’article litigieux a été adopté par une autorité politique, il se fonde sur la LPP et l’exigence de capitalisation prévue à l’art. 72a LPP, de sorte qu’il ne peut s’agir d’une contribution publique pour ce motif déjà. En outre, étant donné que ce ne sont pas les seuls employeurs externes qui sont mis à contribution, mais également l’État, pour le solde, selon l’art. 70 al. 3 let. b LCPEG, l’on voit mal que le législateur puisse condamner la collectivité publique dont il est issu au paiement de ses propres impôts. À cela s’ajoute que la LPP ne relève pas d’une tâche générale dévolue à l’État. En tout état de cause, même si la charge due par le</w:t>
      </w:r>
    </w:p>
    <w:p>
      <w:r>
        <w:t>- 24/25 - A/2592/2019 recourant en application de l’art. 70 al. 3 let. a LPP est importante, il s’agit d’une contribution unique, étant précisé que des modalités de paiement sont envisageables, comme précédemment mentionné. Ce grief sera par conséquent également écarté. 9)</w:t>
      </w:r>
    </w:p>
    <w:p>
      <w:r>
        <w:t>Il s’ensuit que le recours sera rejeté. 10) Vu l’issue du recours, un émolument de CHF 1'500.- sera mis à la charge du recourant, qui succombe (art. 87 al. 1 LPA), et aucune indemnité de procédure ne lui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