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ACST/43/2019 vom 20. Dezember 2019</w:t>
      </w:r>
    </w:p>
    <w:p>
      <w:r>
        <w:t>GE Cour de justice, 2019-12-20, FR</w:t>
      </w:r>
    </w:p>
    <w:p>
      <w:r>
        <w:rPr>
          <w:b/>
        </w:rPr>
        <w:t xml:space="preserve">Quelle: </w:t>
      </w:r>
      <w:r>
        <w:t>https://mcp.opencaselaw.ch/entscheid/ge_gerichte_ACST_43_2019</w:t>
      </w:r>
    </w:p>
    <w:p>
      <w:r>
        <w:t>FR: GE_GERICHTE ACST/43/2019 du 20 décembre 2019</w:t>
      </w:r>
    </w:p>
    <w:p>
      <w:r>
        <w:t>IT: GE_GERICHTE ACST/43/2019 del 20 dicembre 2019</w:t>
      </w:r>
    </w:p>
    <w:p>
      <w:pPr>
        <w:pStyle w:val="Heading2"/>
      </w:pPr>
      <w:r>
        <w:t>Erwägungen</w:t>
      </w:r>
    </w:p>
    <w:p>
      <w:r>
        <w:rPr>
          <w:b/>
        </w:rPr>
        <w:t>E. 7</w:t>
      </w:r>
    </w:p>
    <w:p>
      <w:r>
        <w:t>juin 2019 (art. 62 al. 1 let. d et al. 3 de la loi sur la procédure administrative du</w:t>
      </w:r>
    </w:p>
    <w:p>
      <w:r>
        <w:rPr>
          <w:b/>
        </w:rPr>
        <w:t>E. 12</w:t>
      </w:r>
    </w:p>
    <w:p>
      <w:r>
        <w:t>septembre 1985 - LPA - E 5 10), et il respecte les conditions de forme et de contenu prévues par les art. 64 al. 1 et 65 LPA, y compris celle d’un exposé détaillé des griefs (art. 65 al. 3 LPA). Il est donc également recevable de ce point de vue. 3) a. 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(ACST/28/2019 du 21 novembre 2019 consid. 3a et la référence citée).</w:t>
      </w:r>
    </w:p>
    <w:p>
      <w:r>
        <w:t>b. En application de l’art. 111 al. 1 de la loi fédérale sur le Tribunal fédéral du</w:t>
      </w:r>
    </w:p>
    <w:p>
      <w:r>
        <w:rPr>
          <w:b/>
        </w:rPr>
        <w:t>E. 17</w:t>
      </w:r>
    </w:p>
    <w:p>
      <w:r>
        <w:t>juin 2005 (LTF - RS 173.110), le droit cantonal ne peut pas définir la qualité de partie devant l’autorité qui précède immédiatement le Tribunal fédéral de manière plus restrictive que ne le fait l’art. 89 LTF. Aux termes de cette disposition, a qualité pour former un recours en matière de droit public quiconque a pris part à la procédure devant l’autorité précédente ou a été privé de la possibilité de le faire (al. 1 let. a), est particulièrement atteint par la décision ou l’acte normatif attaqué (al. 1 let. b) et a un intérêt digne de protection à son annulation ou à sa modification (al. 1 let. c).</w:t>
      </w:r>
    </w:p>
    <w:p>
      <w:r>
        <w:t>- 17/27 - A/2589/2019</w:t>
      </w:r>
    </w:p>
    <w:p>
      <w:r>
        <w:t>Lorsque le recours est dirigé contre un acte normatif, la qualité pour recourir est conçue de manière plus souple et il n’est pas exigé que le recourant soit particulièrement atteint par l’acte entrepris. Ainsi, toute personne dont les intérêts sont effectivement touchés par l’acte attaqué ou pourront l’être un jour a qualité pour recourir ; une simple atteinte virtuelle suffit, à condition toutefois qu’il existe un minimum de vraisemblance que le recourant puisse un jour se voir appliquer les dispositions contestées (ATF 145 I 26 consid. 1.2 ; arrêt du Tribunal fédéral 2C_752/2018 du 29 août 2019 consid. 1.2).</w:t>
      </w:r>
    </w:p>
    <w:p>
      <w:r>
        <w:t>La qualité pour recourir suppose en outre un intérêt actuel à obtenir l’annulation de l’acte entrepris, cet intérêt devant exister tant au moment du dépôt du recours qu’au moment où l’arrêt est rendu (ATF 142 I 135 consid. 1.3.1 ; ACST/22/2019 précité consid. 3b).</w:t>
      </w:r>
    </w:p>
    <w:p>
      <w:r>
        <w:t>c. En l’espèce, en tant qu’employeur affilié à la caisse, le recourant est directement concerné par la disposition litigieuse, qui lui impose un apport d’actifs au prorata des engagements de ses membres salariés en vue d’une recapitalisation de la CPEG. Il a dès lors qualité pour recourir. 4)</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145 I 26 consid. 1.4 ; arrêt du Tribunal fédéral 2C_752/2018 précité consid. 2 ; ACST/38/2019 du 21 novembre 2019 consid. 5). 5) a. Selon le recourant, l’art. 70 al. 3 let. a LCPEG emporterait une violation des principes régissant l’imposition, concrétisés à l’art. 127 de la Constitution fédérale de la Confédération suisse du 18 avril 1999 (Cst. - RS 101), en tant que l’apport d’actifs qui lui est imposé serait un impôt spécial d’affectation, à défaut d’être prévu par la LPP.</w:t>
      </w:r>
    </w:p>
    <w:p>
      <w:r>
        <w:t>- 18/27 - A/2589/2019</w:t>
      </w:r>
    </w:p>
    <w:p>
      <w:r>
        <w:t>b. Aux termes de l’art. 127 Cst., les principes généraux régissant le régime fiscal, notamment la qualité de contribuable, l’objet de l’impôt et son mode de calcul, sont définis par la loi (al. 1). Dans la mesure où la nature de l’impôt le permet, les principes de l’universalité, de l’égalité de traitement et de la capacité économique doivent, en particulier, être respectés (al. 2).</w:t>
      </w:r>
    </w:p>
    <w:p>
      <w:r>
        <w:t>c. De manière générale, l’impôt se définit comme la contribution versée par un particulier à une collectivité publique pour participer aux dépenses résultant des tâches générales dévolues à cette dernière en vue de la réalisation du bien commun. Il est perçu de manière inconditionnelle, c’est-à-dire uniquement en fonction d’une certaine situation économique réalisée en la personne de l’assujetti, sans considération d’une prestation de l’État ou d’un avantage particulier consenti en sa faveur (arrêt du Tribunal fédéral 2C_466/2008 du 10 juillet 2009 consid. 4.2.1 et les références citées). Selon qu’il sert à alimenter les caisses générales de l’État ou qu’il est plus spécifiquement destiné à couvrir des dépenses déterminées, l’impôt peut être subdivisé entre impôts généraux et impôts d’affectation. Lorsque ces derniers sont destinés à couvrir des dépenses spécifiques qui sont provoquées par des personnes déterminées ou qui profitent plus directement à certaines catégories de personnes qu’à la majorité des citoyens, on parle d’impôts d’attribution des coûts (arrêt du Tribunal fédéral 2C_150/2015 du 9 juin 2015 consid. 3.3.2). Le cercle des contribuables comprend les personnes à la charge desquelles, pour des motifs objectifs et raisonnables, la collectivité publique peut mettre en priorité les dépenses en cause plutôt que de les imposer à l’ensemble des contribuables ; cet impôt est dû indépendamment de l’usage ou de l’avantage obtenu individuellement par le contribuable ou de la dépense que celui-ci a provoquée. En d’autres termes, il n’est pas nécessaire que le contribuable retire un avantage individuel particulier pour justifier l’imposition (ATF 124 I 289 consid. 3b ; 122 I 61 consid. 3b). 6) a. L’art. 72a LPP règle le financement des IPDP en capitalisation partielle et prévoit que celles ne satisfaisant pas aux exigences en matière de capitalisation complète au 1er janvier 2012, tout en bénéficiant de la garantie de l’État, peuvent, avec l’accord de l’autorité de surveillance, déroger au principe de la capitalisation complète (capitalisation partielle) lorsqu’un plan de financement permet d’assurer à long terme leur équilibre financier. Ce plan de financement garantit notamment (al. 1) : la couverture intégrale des engagements pris envers les rentiers (let. a), le maintien des taux de couverture au moins à leur valeur initiale pour l’ensemble des engagements de l’institution de prévoyance, ainsi que pour les engagements envers les assurés actifs, jusqu’à l’atteinte de la capitalisation complète (let. b), un taux de couverture des engagements totaux pris envers les rentiers et les assurés actifs d’au moins 80 % (let. c), le financement intégral de toute augmentation des prestations par la capitalisation (let. d). L’autorité de surveillance contrôle le plan de financement et approuve la poursuite de la gestion de l’institution de</w:t>
      </w:r>
    </w:p>
    <w:p>
      <w:r>
        <w:t>- 19/27 - A/2589/2019 prévoyance selon le système de la capitalisation partielle. Elle veille à ce que le plan de financement prévoie le maintien des taux de couverture acquis (al. 2).</w:t>
      </w:r>
    </w:p>
    <w:p>
      <w:r>
        <w:t>Selon l’art. 72c al. 1 LPP, il y a garantie de l’État quand la corporation de droit public s’engage à couvrir les prestations de l’IPDP ci-après, dans la mesure où elles ne sont pas entièrement financées sur la base des taux de couverture initiaux : prestations de vieillesse, de risque et de sortie (let. a), prestations de sortie dues à l’effectif d’assurés sortants en cas de liquidation partielle (let. b), découverts techniques affectant l’effectif d’assurés restants en cas de liquidation partielle (let. c).</w:t>
      </w:r>
    </w:p>
    <w:p>
      <w:r>
        <w:t>L’IPDP fait vérifier périodiquement par l’expert que son équilibre financier est garanti à long terme dans le système de la capitalisation partielle et que le plan de financement visé à l’art. 72a al. 1 LPP est respecté (art. 72d LPP). Les IPDP n’atteignant pas le taux de couverture minimal de 80 % lui soumettent tous les cinq ans un plan visant à leur permettre de l’atteindre d’ici au 1er janvier 2052 (let. c des dispositions transitoires ad art. 72a LPP).</w:t>
      </w:r>
    </w:p>
    <w:p>
      <w:r>
        <w:t>Est réputé initial le taux de couverture existant au 1er janvier 2012 (art. 72b al. 1 LPP). Lorsqu’un taux de couverture initial au sens de l’art. 72a al. 1 let. b n’est plus atteint, l’IPDP doit prendre les mesures prévues aux art. 65c à 65e LPP (art. 72e LPP). En cas de passage à la capitalisation complète, le financement des IPDP est régi par les art. 65 à 72 dès qu’elles en remplissent les exigences (art. 72f al. 1 LPP).</w:t>
      </w:r>
    </w:p>
    <w:p>
      <w:r>
        <w:t>Aux termes des dispositions générales en matière de financement, les institutions de prévoyance doivent offrir en tout temps la garantie qu’elles peuvent remplir leurs engagements (art. 65 al. 1 LPP). Selon l’art. 65c LPP, une dérogation à ce principe et, partant, un découvert limité dans le temps, est toutefois autorisé (al. 1) s’il est garanti que les prestations peuvent être fournies dès qu’elles sont exigibles (let. a), l’institution de prévoyance prend des mesures pour résorber le découvert (let. b). Aux termes de l’art. 65d LPP, l’institution de prévoyance doit résorber elle-même le découvert, le fonds de garantie n’intervenant que lorsqu’elle est insolvable (al. 1). Tant que dure le découvert, l’institution de prévoyance peut décider d’appliquer (al. 3) : le prélèvement auprès de l’employeur et des salariés de cotisations destinées à résorber le découvert, la cotisation de l’employeur devant alors être au moins aussi élevée que la somme des cotisations des salariés (let. a), le prélèvement auprès des bénéficiaires de rente d’une contribution destinée à résorber le découvert (let. b). Si ces mesures se révèlent insuffisantes, l’institution de prévoyance peut décider d’appliquer tant que dure le découvert et pendant cinq ans au plus une rémunération inférieure à celle prévue (al. 4). L’art. 65d LPP ne porte que sur les mesures destinées à résorber un découvert illicite et qui, sous réserve d’un découvert limité dans le temps, doit être résorbé par l’institution de prévoyance elle-même (arrêt du Tribunal fédéral 9C_78/2007 du 15 janvier 2008 consid. 6.6).</w:t>
      </w:r>
    </w:p>
    <w:p>
      <w:r>
        <w:t>- 20/27 - A/2589/2019</w:t>
      </w:r>
    </w:p>
    <w:p>
      <w:r>
        <w:t>Chaque IPDP partiellement capitalisée dispose de quarante ans pour parvenir à une capitalisation complète et décide elle-même comment elle entend se financer et sur combien de temps (Message du Conseil fédéral relatif à la modification de la LPP du 19 septembre 2008, FF 2008 7619, p. 7650). Les IPDP dont la situation financière se dégrade durant la période de recapitalisation doivent prendre les mesures propres à rétablir l’équilibre, les mesures possibles étant notamment l’adaptation de la cotisation ordinaire, la limitation de l’adaptation des rentes en cours au renchérissement ou un financement complémentaire dans ce but, la réduction du niveau des prestations, l’amélioration des stratégies de placement, la requête d’un versement unique de la part de la corporation de droit public, l’introduction d’une cotisation d’assainissement temporaire ou encore l’instauration d’une garantie de rendement accordée par la corporation de droit public (Message, op. cit., p. 7651). Les IPDP disposent ainsi de plusieurs possibilités pour atteindre le taux de financement requis, l’important étant qu’elles visent une capitalisation complète et adoptent des mesures lorsque leur taux de financement se dégrade (Message, op. cit., p. 7654).</w:t>
      </w:r>
    </w:p>
    <w:p>
      <w:r>
        <w:t>b. L’art. 50 LPP traite des dispositions réglementaires et prévoit que les institutions de prévoyance établissent des dispositions sur les prestations, l’organisation, l’administration et le financement, le contrôle et les rapports avec les employeurs, les assurés et les ayants droit (al. 1). Ces dispositions peuvent figurer dans l’acte constitutif. S’il s’agit d’une IPDP, les dispositions concernant soit les prestations, soit le financement peuvent être édictées par la corporation de droit public concernée (al. 2). À Genève, la CPEG fixe les dispositions générales, communes et particulières s’appliquant aux prestations, dans le cadre du financement fixé par l’État (art. 22 LCPEG).</w:t>
      </w:r>
    </w:p>
    <w:p>
      <w:r>
        <w:t>La liberté d’organisation des cantons est limitée par le droit fédéral, qui prescrit la forme juridique et une certaine autonomie des IPDP. Toutefois, la LPP, une loi-cadre prévoyant des prestations minimales, octroie une grande liberté de décision et d’organisation dans l’exécution de la prévoyance professionnelle. Dès lors, les législatifs et exécutifs cantonaux et communaux doivent conserver la possibilité d’exercer une certaine influence sur le financement ou les prestations de l’IPDP de leur collectivité, en édictant des actes législatifs. Les pouvoirs législatifs ou exécutifs devraient toutefois se limiter à agir sur l’un des deux paramètres (financement ou prestations), afin que l’organe suprême de l’IPDP ait la possibilité et la responsabilité de fixer en toute souplesse l’autre paramètre pour garantir la sécurité financière de l’institution (Message, op. cit., p. 7673). 7)</w:t>
      </w:r>
    </w:p>
    <w:p>
      <w:r>
        <w:t>En l’espèce, à la suite de divers événements (introduction des taux négatifs par la BNS et baisses du taux d’intérêt technique), l’expert agréé de la CPEG a constaté, en fin d’année 2016, que celle-ci ne serait pas en mesure de respecter son chemin de croissance à long terme, tel que fixé par la LCPEG, en vue d’atteindre un taux de couverture de 80 % au 1er janvier 2052 imposé par l’art. 72a</w:t>
      </w:r>
    </w:p>
    <w:p>
      <w:r>
        <w:t>- 21/27 - A/2589/2019 LPP, si des mesures structurelles importantes n’étaient pas prises touchant aux prestations et/ou au financement. À la même époque, le taux de couverture de la CPEG n’était ainsi que de 57,4 %, alors qu’il devait atteindre au moins 60 % au 1er janvier 2020. La CPEG a alors adopté, dans son domaine de compétence, une première mesure, consistant à élever l’âge pivot, ce qui a conduit à une réduction de 5 % des prestations. Au printemps 2017, la CPEG a adopté un deuxième volet de mesures qui prévoyait une réduction du taux de pension, dont elle a souhaité différer l’entrée en vigueur au vu de la réduction supplémentaire de 10 % des prestations que lesdites mesures impliquaient. C’est pour éviter une nouvelle baisse des prestations et surtout pour rétablir l’équilibre financier à long terme, afin d’atteindre une capitalisation à 80 % telle qu’exigée par le droit fédéral, que la question d’une recapitalisation de la CPEG s’est posée, étant précisé que la prise de mesures revêtait une certaine urgence dès lors que l’ASFIP devait renouveler son autorisation de fonctionner en capitalisation partielle. Les mesures envisagées se situent ainsi dans le contexte des art. 72a ss LPP, et non pas dans celui d’un découvert, situation envisagée à l’art. 65d LPP, applicable aux IPDP par le renvoi des art. 72e et 72f LPP, dès lors que la CPEG a maintenu ses taux de couverture au moins à leur valeur initiale, ni, par voie de conséquence, dans une situation ayant nécessité d’actionner la garantie de l’État (art. 72c LPP).</w:t>
      </w:r>
    </w:p>
    <w:p>
      <w:r>
        <w:t>C’est par conséquent dans le contexte du maintien de la CPEG en capitalisation partielle et du respect, à cette fin, de son chemin de croissance, que des mesures devaient être prises, dans le cadre de l’art. 72a LPP. Même si cette disposition, ainsi que la disposition transitoire y relative, n’indique pas les moyens en vue d’y parvenir, une telle situation ne préjuge pas pour autant de l’absence de compétence du législatif en cette matière ni du caractère de contribution publique de l’acte adopté. Outre le fait que le financement de l’IPDP est du ressort de la corporation de droit public (art. 50 al. 2 LPP et 22 LCPEG), qui bénéficie à ce titre d’une marge de manœuvre étendue d’un point de vue organisationnel (Message, op. cit., p. 7673), les mesures à prendre en cas de dégradation de la situation financière durant la période de recapitalisation peuvent également être de différentes natures, comme l’a indiqué le Conseil fédéral dans son message (Message, op. cit., p. 7651), mentionnant, de manière non exhaustive, tant la réduction du niveau des prestations par l’IPDP que la requête d’un versement unique de la part de l’État. Or, dans le cas de la CPEG, la marge de manœuvre de celle-ci était limitée, dès lors que les deux mesures qu’elle a prises n’étaient pas à même de rétablir son équilibre financier à long terme, comme l’a relevé l’expert agréé et l’ASFIP, de sorte que seul le recours à un versement unique pouvait encore être envisagé, dont les modalités devaient être arrêtées par l’État, seul compétent en matière de financement.</w:t>
      </w:r>
    </w:p>
    <w:p>
      <w:r>
        <w:t>Contrairement à ce que soutient le recourant, la corporation de droit public était bien compétente pour prendre la mesure litigieuse, le Grand Conseil ayant adopté la loi 12228 à cette fin et l’art. 70 al. 3 let. a qu’elle contient. Comme</w:t>
      </w:r>
    </w:p>
    <w:p>
      <w:r>
        <w:t>- 22/27 - A/2589/2019 précédemment indiqué, il s’agit d’une loi formelle et matérielle, qui contient des règles de droit, et a été soumise au référendum facultatif, le corps électoral l’ayant acceptée. Le principe de la légalité a ainsi été pleinement respecté, ce qui rend du reste sans objet le grief du recourant en lien avec une violation de ce principe ainsi que celui de la séparation des pouvoirs.</w:t>
      </w:r>
    </w:p>
    <w:p>
      <w:r>
        <w:t>Il ressort des développements qui précèdent que, même si la disposition litigieuse a été adoptée par une autorité politique, elle se fonde sur la LPP et l’exigence de capitalisation prévue à l’art. 72a LPP, de sorte que le raisonnement du recourant, qui prétend qu’il s’agit d’une contribution publique, ne peut pour ce motif déjà pas être suivi. Le recourant perd en outre de vue que ce ne sont pas les seuls employeurs externes qui sont mis à contribution, mais également l’État, pour le solde selon l’art. 70 al. 3 let. b LCPEG. Or, on voit mal le législateur condamner la collectivité dont il est issu au paiement de ses propres impôts. À cela s’ajoute que la LPP ne relève pas d’une tâche générale dévolue à l’État et que les employeurs concernés, qu’il s’agisse de l’État ou des employeurs externes affiliés sur une base volontaire à la CPEG, profitent directement de sa recapitalisation, en lui garantissant de manière générale une pérennité financière à long terme, de façon à conserver l’autorisation de fonctionner en capitalisation partielle jusqu’à l’atteinte du taux de couverture de 80 %, lui éviter de tomber sous le seuil initial et empêcher la prise de mesures plus drastiques, notamment au niveau des prestations. Le fait que le degré de couverture du personnel actif du recourant soit de 0 % n’y change rien, puisqu’il l’est de manière générale pour tous les employeurs affiliés, y compris l’État – ce qui constitue d’ailleurs l’un des problèmes de la CPEG –, le taux de couverture des pensionnés étant, quant à lui, de 100 %.</w:t>
      </w:r>
    </w:p>
    <w:p>
      <w:r>
        <w:t>Au vu de ces éléments, l’art. 70 al. 3 let. a LCPEG ne peut être considéré comme imposant aux employeurs concernés le paiement d’une contribution publique, de sorte que le grief en lien avec une violation de l’art. 127 Cst. doit être écarté, ainsi que les principes qui le composent, comme les aspects spécifiques en termes de légalité, l’universalité, ou l’imposition selon la capacité contributive, y compris le principe de la proportionnalité, qui n’est pas érigé en droit constitutionnel indépendant, et le grief tiré de la violation de la garantie de la propriété en lien avec l’interdiction de l’imposition confiscatoire. Il convient toutefois d’examiner les griefs restants soulevés par le recourant, à savoir l’égalité de traitement, l’interdiction de l’arbitraire et la violation du droit d’être entendu dans la procédure législative, qui peuvent être invoqués de manière autonome. 8) a. Le recourant soutient que la disposition litigieuse serait constitutive d’une inégalité de traitement et serait arbitraire.</w:t>
      </w:r>
    </w:p>
    <w:p>
      <w:r>
        <w:t>b. Un arrêté de portée générale viole le principe de l’égalité de traitement consacré à l’art. 8 al. 1 Cst. lorsqu’il établit des distinctions juridiques qui ne se justifient par aucun motif raisonnable au regard de la situation de fait à</w:t>
      </w:r>
    </w:p>
    <w:p>
      <w:r>
        <w:t>- 23/27 - A/2589/2019 réglementer ou qu’il omet de faire des distinctions qui s’imposent au vu des circonstances. Il faut que le traitement différent ou semblable injustifié se rapporte à une situation de fait importante. Le législateur dispose d’un large pouvoir d’appréciation dans le cadre de ces principes (ATF 145 I 73 consid. 5.1 et les références citées).</w:t>
      </w:r>
    </w:p>
    <w:p>
      <w:r>
        <w:t>c. Un acte normatif viole le principe de l’interdiction de l’arbitraire (art. 9 Cst.) s’il ne repose pas sur des motifs objectifs sérieux ou s’il est dépourvu de sens et de but. Le législateur, organe politique soumis à un contrôle démocratique, doit se voir reconnaître une grande liberté dans l’élaboration des lois, les autorités judiciaires n’ayant pas à revoir l’opportunité des choix effectués dans ce cadre et ne devant pas annuler une disposition légale au motif que d’autres solutions paraîtraient envisageables, voire même préférables (ATF 136 I 241 consid. 3.1 ; arrêt du Tribunal fédéral 2C_773/2017 du 13 mai 2019 consid. 5.2).</w:t>
      </w:r>
    </w:p>
    <w:p>
      <w:r>
        <w:t>d. En l’espèce, il n’est pas contesté que le recourant est un employeur externe non subventionné, le fait qu’il ait conclu un accord avec l’université ne modifiant en rien ce statut. Il importe également peu qu’il poursuive, du point de vue fiscal, une activité sans but lucratif, ce qui ne signifie du reste pas qu’il ne perçoit aucun revenu, comme l’attestent les états financiers versés au dossier.</w:t>
      </w:r>
    </w:p>
    <w:p>
      <w:r>
        <w:t>Cela étant, ce n’est pas en fonction du revenu perçu ou de la question de savoir si l’entité en cause avait les moyens de s’acquitter d’un montant déterminé, même si une telle situation a été évoquée s’agissant de l’aéroport (au demeurant amené à prendre en charge la plus grande partie des coûts de recapitalisation des employeurs externes), que le législateur a opéré une distinction, contrairement aux discussions qui ont eu lieu dans le cadre du PL 10847, mais du statut d’entité subventionnée ou non, seules ces dernières, de même que l’État, étant amenées à participer formellement à la recapitalisation. En effet, une telle distinction repose sur des motifs objectifs et raisonnables, ces deux types d’entités – subventionnées ou non – ne se trouvant pas dans une situation identique, le mécanisme de leur participation à la recapitalisation ne devant pas non plus l’être. En outre, tandis que les entités non subventionnées s’acquittent d’un certain montant en vue de cette recapitalisation, la part due par les entités subventionnées est prise en charge par l’État, lequel réduit néanmoins le montant des subventions, ce qui ressort des travaux législatifs des différents PL.</w:t>
      </w:r>
    </w:p>
    <w:p>
      <w:r>
        <w:t>S’il est vrai que la loi 12228 ne prévoit plus de diminution de la cotisation des employeurs, contrairement au PL 12188 ou à la loi 12404, elle ne l’exclut pas, du moins à long terme, puisqu’elle prévoit que tant que le taux de couverture de 80 % n’est pas atteint, toute baisse des cotisations ne peut être effectuée qu’au seul bénéfice de la cotisation employeur (art. 30 al. 7 de la loi 12228). Outre le fait qu’une baisse de la cotisation des employeurs, qui a tout au plus été estimée, pour le recourant, à CHF 700'000.- la première année, ne soit pas déterminable dans le temps, étant donné qu’elle est fonction de la classe d’âge des employés, un tel</w:t>
      </w:r>
    </w:p>
    <w:p>
      <w:r>
        <w:t>- 24/27 - A/2589/2019 mécanisme ne pouvait permettre au recourant de compter sur une opération neutre à long terme ni se voir assuré qu’en cours d’élaboration la loi ne serait pas modifiée sur ce point. C’est d’ailleurs le peuple qui, en dernier ressort, a porté sa préférence sur la loi 12228 au détriment de la loi 12404. C’est le lieu de rappeler que le recourant s’est affilié à la CEH puis à la CPEG qui lui a succédé de manière volontaire et sur la base d’une convention d’affiliation qui réservait l’adoption, la modification et l’abrogation unilatérale des lois et des règlements par les autorités compétentes. Le fait qu’il n’ait pas été mis à contribution lors de la création de la CPEG en tant qu’employeur externe affilié à la CEH ne constituait au demeurant pas une garantie qu’il ne serait jamais amené à contribuer à la recapitalisation de la caisse dans le futur, risque qu’il ne pouvait ignorer. En tout état de cause, le fait de prévoir ou non une baisse de la cotisation de l’employeur – et par conséquent une augmentation de celle des employés par le biais d’une répartition différente – demeurait dans la marge d’appréciation du législateur et n’enlevait rien au principe de la participation des employeurs externes à la recapitalisation, ces deux mécanismes étant distincts.</w:t>
      </w:r>
    </w:p>
    <w:p>
      <w:r>
        <w:t>Comme précédemment évoqué, le législateur n’a pas souhaité opérer de distinction entre les entités non subventionnées en fonction de leurs capacités financières, mais a subordonné leur contribution au prorata de leurs engagements, ce qui rend du reste sans objet le grief du recourant à ce titre, notamment sa comparaison avec l’aéroport, qui supporte d’ailleurs une grande part du montant dû par les employeurs externes. Le législateur disposait du reste d’une marge de manœuvre importante dans le choix des entités en cause, qu’il n’appartient pas à la chambre de céans de critiquer.</w:t>
      </w:r>
    </w:p>
    <w:p>
      <w:r>
        <w:t>Le montant dû par le recourant, tel qu’estimé, est certes important, au regard de ses revenus annuels. Il n’en demeure pas moins que ses charges salariales le sont également et représentent un poste important dans son budget. Le recourant ayant été tenu informé des différents projets, il n’ignorait pas qu’il serait amené à contribuer à la recapitalisation de la CPEG, de sorte qu’il lui appartenait de provisionner les montants en cause, tant le Conseil d’État que le législateur ayant laissé entendre que des modalités de paiement étaient envisageables, notamment par le recours à un prêt. Le recourant ne peut dès lors se prévaloir d’une inégalité de traitement par rapport à l’État, dont le principe d’un prêt figure dans la loi 12228, puisqu’une telle possibilité peut aussi lui être offerte.</w:t>
      </w:r>
    </w:p>
    <w:p>
      <w:r>
        <w:t>e. Pour les mêmes motifs que ceux ci-dessus mentionnés, le grief tiré de la violation de l’interdiction de l’arbitraire soulevé par le recourant est mal fondé. Le but de la loi 12228 et de la disposition contestée est de permettre à la CPEG d’augmenter son degré de capitalisation, ce qui constitue un motif objectif et raisonnable, qui s’inscrit dans la ligne des préoccupations exprimées par le législateur fédéral à l’art. 72a LPP. La disposition attaquée n’est pas non plus, en soi, arbitraire, au motif qu’elle fait participer le recourant à cette recapitalisation,</w:t>
      </w:r>
    </w:p>
    <w:p>
      <w:r>
        <w:t>- 25/27 - A/2589/2019 une telle mesure, outre le fait qu’elle repose sur un choix d’ordre politique opéré par le législateur cantonal que la chambre de céans ne saurait revoir, vise tous les employeurs affiliés, selon les modalités précédemment rappelées. Par ailleurs, la disposition contestée ne saurait être annulée pour le motif qu’une autre solution aurait été possible ou qu’un autre canton ou la Confédération connaîtrait une réglementation différente. Il s’ensuit que ce grief sera également écarté. 9) a. Le recourant se plaint d’une violation du droit d’être entendu.</w:t>
      </w:r>
    </w:p>
    <w:p>
      <w:r>
        <w:t>b. Dans le cadre d’une procédure législative, c’est-à-dire dans une procédure qui conduit à l’adoption de normes générales et abstraites, la Cst. ne confère pas aux citoyens le droit d’être entendus. Une exception n’est admise que lorsque certaines personnes (destinataires dits « spéciaux ») sont touchées de façon sensiblement plus grave que le plus grand nombre des destinataires « ordinaires », par exemple lorsqu’un décret de portée générale ne touche concrètement qu’un très petit nombre de propriétaires (ATF 145 I 167 consid. 4.1 ; arrêt du Tribunal fédéral 2C_752/2018 précité consid. 3.1).</w:t>
      </w:r>
    </w:p>
    <w:p>
      <w:r>
        <w:t>c. En l’espèce, le recourant ne saurait se prévaloir du droit d’être entendu dans la procédure législative, en présence d’une norme générale et abstraite, ce d’autant qu’il n’apparaît pas être davantage touché que les autres employeurs non subventionnés figurant dans la liste de l’annexe II de l’art. 70 al. 3 let. a LCPEG. En tout état de cause, il apparaît que le recourant a néanmoins pu se prononcer de manière appropriée sur le principe de sa contribution à la recapitalisation de la CPEG, ce qui résulte de son courrier du 10 janvier 2018 adressé au Conseil d’État, dans le cadre duquel il a expliqué que, d’un point de vue financier, il ne lui était pas possible de s’acquitter de l’apport d’actifs qui lui était demandé, au regard de son montant estimé trop important. Le Conseil d’État a, par la suite, tenu le recourant informé du sort réservé par la commission au PL 12188 et du dépôt du PL 12404 dans son courrier du 14 novembre 2018. Même si, dans ce cadre, le recourant ne s’est pas formellement exprimé sur le PL 12228, il n’en demeure pas moins que le principe d’un apport d’actifs de sa part est resté identique dans les différents projets et qu’il n’a pas indiqué qu’une baisse des cotisations de l’employeur (prévue par le PL 12404 mais non par le PL 12228) aurait un effet sur sa capacité à payer le montant requis, ce qui montre bien que cet aspect n’était pas déterminant. Ce grief sera par conséquent également écarté. 10) Il s’ensuit que le recours sera rejeté.</w:t>
      </w:r>
    </w:p>
    <w:p>
      <w:r>
        <w:t>La chambre de céans s’étant prononcée sur le fond du recours, avant l’entrée en vigueur de la loi 12228, la demande d’octroi de l’effet suspensif devient sans objet.</w:t>
      </w:r>
    </w:p>
    <w:p>
      <w:r>
        <w:t>- 26/27 - A/2589/2019 11) Vu l’issue du recours, un émolument de CHF 2'000.-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