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ACST/3/2026 vom 3. Februar 2026</w:t>
      </w:r>
    </w:p>
    <w:p>
      <w:r>
        <w:t>GE Cour de justice, 2026-02-03, FR</w:t>
      </w:r>
    </w:p>
    <w:p>
      <w:r>
        <w:rPr>
          <w:b/>
        </w:rPr>
        <w:t xml:space="preserve">Quelle: </w:t>
      </w:r>
      <w:r>
        <w:t>https://mcp.opencaselaw.ch/entscheid/ge_gerichte_ACST_3_2026</w:t>
      </w:r>
    </w:p>
    <w:p>
      <w:r>
        <w:t>FR: GE_GERICHTE ACST/3/2026 du 3 février 2026</w:t>
      </w:r>
    </w:p>
    <w:p>
      <w:r>
        <w:t>IT: GE_GERICHTE ACST/3/2026 del 3 febbraio 2026</w:t>
      </w:r>
    </w:p>
    <w:p>
      <w:pPr>
        <w:pStyle w:val="Heading2"/>
      </w:pPr>
      <w:r>
        <w:t>Erwägungen</w:t>
      </w:r>
    </w:p>
    <w:p>
      <w:r>
        <w:rPr>
          <w:b/>
        </w:rPr>
        <w:t>E. 1</w:t>
      </w:r>
    </w:p>
    <w:p>
      <w:r>
        <w:t>L’intimé sollicite préalablement la jonction des causes nos A/2401/2025, A/2864/2025, A/2868/2025, A/2870/2025, A/2874/2025, A/2877/2025, A/2886/2025, A/2891/2025, A/2894/2025, A/2897/2025, A/2904/2025 et A/2906/2025 dans un souci d’économie de procédure. La recourante s’est opposée à cette jonction, estimant que cette dernière conduirait à partager des informations personnelles relevant de sa sphère intime, ce qui constituerait une atteinte irréparable à sa personnalité. En outre, les causes étaient constituées de parties différentes, dirigées contre des règlements différents et soulevaient des griefs différents.</w:t>
      </w:r>
    </w:p>
    <w:p>
      <w:r>
        <w:rPr>
          <w:b/>
        </w:rPr>
        <w:t>E. 1.1</w:t>
      </w:r>
    </w:p>
    <w:p>
      <w:r>
        <w:t>Sur la base de l’art. 70 al. 1 de la loi sur la procédure administrative du 12 septembre 1985 (LPA - E 5 10), l’autorité peut, d’office ou sur requête, joindre</w:t>
      </w:r>
    </w:p>
    <w:p>
      <w:r>
        <w:t>6/32 -</w:t>
      </w:r>
    </w:p>
    <w:p>
      <w:r>
        <w:t>A/2401/2025</w:t>
      </w:r>
    </w:p>
    <w:p>
      <w:r>
        <w:t>en une même procédure des affaires qui se rapportent à une situation identique ou à une cause juridique commune.</w:t>
      </w:r>
    </w:p>
    <w:p>
      <w:r>
        <w:rPr>
          <w:b/>
        </w:rPr>
        <w:t>E. 1.2</w:t>
      </w:r>
    </w:p>
    <w:p>
      <w:r>
        <w:t>En l’espèce, les causes nos A/2401/2025, A/2864/2025, A/2868/2025, A/2870/2025, A/2874/2025, A/2877/2025, A/2886/2025, A/2891/2025, A/2894/2025, A/2897/2025, A/2904/2025 et A/2906/2025 s’inscrivent dans un même complexe juridique, dans la mesure où elles concernent l’admission dans les établissements scolaires genevois des élèves domiciliés hors canton. Les griefs soulevés par les parties recourantes dans les douze recours sont toutefois différents. Les causes ne se rapportent par ailleurs pas à un même règlement. De surcroît, les parties n’ont pas adhéré au principe de la jonction des causes, qui peut entraîner la diffusion indésirable – et non nécessaire – de données personnelles. Il ne se justifie ainsi pas de joindre les douze causes.</w:t>
      </w:r>
    </w:p>
    <w:p>
      <w:r>
        <w:rPr>
          <w:b/>
        </w:rPr>
        <w:t>E. 2</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En l’espèce, le recours est formellement dirigé contre un règlement du Conseil d’État, à savoir le règlement modifiant le RAES-II, et ce en l’absence de cas d’application (ACST/17/2023 du 26 avril 2023 consid. 1.2). La chambre constitutionnelle est par conséquent compétente pour connaître de la présente cause.</w:t>
      </w:r>
    </w:p>
    <w:p>
      <w:r>
        <w:rPr>
          <w:b/>
        </w:rPr>
        <w:t>E. 3</w:t>
      </w:r>
    </w:p>
    <w:p>
      <w:r>
        <w:t>Le recours a été interjeté dans le délai légal à compter de la publication dudit règlement dans la FAO du 24 juin 2025 (art. 62 al. 1 let. d et al. 3 et 63 al. 1 let. b LPA), et il satisfait également aux réquisits de forme et de contenu prévus aux art. 64 al. 1 et 65 al. 1 à 3 LPA.</w:t>
      </w:r>
    </w:p>
    <w:p>
      <w:r>
        <w:rPr>
          <w:b/>
        </w:rPr>
        <w:t>E. 4</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w:t>
      </w:r>
    </w:p>
    <w:p>
      <w:r>
        <w:t>7/32 -</w:t>
      </w:r>
    </w:p>
    <w:p>
      <w:r>
        <w:t>A/2401/2025</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En l’espèce, A______ est née en septembre 2010 et est scolarisée au cycle d’orientation de C______. En tant qu’élève souhaitant être admise dans l’enseignement secondaire II genevois, la recourante est concernée par les dispositions qu’elle conteste, lesquelles introduisent dans l’enseignement secondaire II une condition de domicile dans le canton, ce qui conduit à son exclusion du système d’enseignement public genevois dès la rentrée 2026. Il y a dès lors lieu de considérer que la recourante dispose de la qualité pour recourir. Le recours est donc recevable.</w:t>
      </w:r>
    </w:p>
    <w:p>
      <w:r>
        <w:rPr>
          <w:b/>
        </w:rPr>
        <w:t>E. 5</w:t>
      </w:r>
    </w:p>
    <w:p>
      <w:r>
        <w:t>Le litige porte sur la conformité au droit supérieur du règlement modifiant le RAES-II.</w:t>
      </w:r>
    </w:p>
    <w:p>
      <w:r>
        <w:rPr>
          <w:b/>
        </w:rPr>
        <w:t>E. 5.1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5.2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t>8/32 -</w:t>
      </w:r>
    </w:p>
    <w:p>
      <w:r>
        <w:t>A/2401/2025</w:t>
      </w:r>
    </w:p>
    <w:p>
      <w:r>
        <w:rPr>
          <w:b/>
        </w:rPr>
        <w:t>E. 5.3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ACST/14/2025 précité consid. 4.3).</w:t>
      </w:r>
    </w:p>
    <w:p>
      <w:r>
        <w:rPr>
          <w:b/>
        </w:rPr>
        <w:t>E. 6</w:t>
      </w:r>
    </w:p>
    <w:p>
      <w:r>
        <w:t>La recourante sollicite la production de l’intégralité des échanges, documents officiels et tout autre élément pertinent ayant conduit à l’adoption du règlement attaqué.</w:t>
      </w:r>
    </w:p>
    <w:p>
      <w:r>
        <w:rPr>
          <w:b/>
        </w:rPr>
        <w:t>E. 6.1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 consid. 5.1).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6.2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w:t>
      </w:r>
    </w:p>
    <w:p>
      <w:r>
        <w:t>9/32 -</w:t>
      </w:r>
    </w:p>
    <w:p>
      <w:r>
        <w:t>A/2401/2025</w:t>
      </w:r>
    </w:p>
    <w:p>
      <w:r>
        <w:t>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6.3</w:t>
      </w:r>
    </w:p>
    <w:p>
      <w:r>
        <w:t>Le processus législatif est régi par différents textes – à Genève, principalement la Cst-GE, la loi portant règlement du Grand Conseil de la République et canton de Genève du 13 septembre 1985 (LRGC - B 1 01), la loi sur l’exercice des compétences du Conseil d’État et l’organisation de l’administration du 16 septembre 1993 (LECO - B 1 15), le règlement pour l’organisation du Conseil d’État de la République et canton de Genève du 25 août 2005 (RCE - B 1 15.03) et la loi sur la forme, la publication et la promulgation des actes officiels du 8 décembre 1956 (LFPP - B 2 05). Si la publication des règlements du Conseil d’État est prévue par les art. 15, 17 let. b et 19 al. 1 LFPP, aucune norme de droit cantonal ne prévoit la communication obligatoire au public des projets de règlement et autres documents sur lesquels le Conseil d’État se fonde pour les adopter.</w:t>
      </w:r>
    </w:p>
    <w:p>
      <w:r>
        <w:rPr>
          <w:b/>
        </w:rPr>
        <w:t>E. 6.4</w:t>
      </w:r>
    </w:p>
    <w:p>
      <w:r>
        <w:t>De manière générale, les citoyens ne disposent pas du droit d’être entendus dans une procédure législative (ATF 137 I 305 consid. 2.4 ; arrêt du Tribunal fédéral 1C_636/2020 du 24 août 2022 consid. 3.1 ; ACST/33/2023 du 12 octobre 2023 consid. 4.1).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w:t>
      </w:r>
    </w:p>
    <w:p>
      <w:r>
        <w:rPr>
          <w:b/>
        </w:rPr>
        <w:t>E. 6.5</w:t>
      </w:r>
    </w:p>
    <w:p>
      <w:r>
        <w:t>En l’espèce, le litige porte – de par sa nature – principalement sur des aspects juridiques, que la chambre de céans est apte à apprécier sans actes d’instruction particuliers. En outre, le Conseil d’État a, dans son communiqué hebdomadaire du</w:t>
      </w:r>
    </w:p>
    <w:p>
      <w:r>
        <w:rPr>
          <w:b/>
        </w:rPr>
        <w:t>E. 11</w:t>
      </w:r>
    </w:p>
    <w:p>
      <w:r>
        <w:t>Dans un cinquième grief, la recourante soutient que le règlement litigieux viole sa liberté d’établissement. Son père possédait la nationalité suisse. À l’instar de celui-ci, elle avait de nombreux points d’attaches avec Genève. La pénaliser du fait que son père avait été contraint, en raison de la crise du logement, de s’installer en France voisine violait sa liberté d’établissement.</w:t>
      </w:r>
    </w:p>
    <w:p>
      <w:r>
        <w:rPr>
          <w:b/>
        </w:rPr>
        <w:t>E. 11.1</w:t>
      </w:r>
    </w:p>
    <w:p>
      <w:r>
        <w:t>Selon l’art. 24 Cst., les Suisses et les Suissesses ont le droit de s’établir en un lieu quelconque du pays (al. 1). Ils ont le droit de quitter la Suisse ou d’y entrer (al.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w:t>
      </w:r>
    </w:p>
    <w:p>
      <w:r>
        <w:t>25/32 -</w:t>
      </w:r>
    </w:p>
    <w:p>
      <w:r>
        <w:t>A/2401/2025</w:t>
      </w:r>
    </w:p>
    <w:p>
      <w:r>
        <w:t>territoire national (ATF 135 I 233 consid. 5 p. 248 s. ; 131 I 266 consid. 3 p. 269 ; 128 I 280 consid. 4.1.1 p. 282 s. ; ATA/597/2016 du 12 juillet 2016 consid. 3a).</w:t>
      </w:r>
    </w:p>
    <w:p>
      <w:r>
        <w:rPr>
          <w:b/>
        </w:rPr>
        <w:t>E. 11.2</w:t>
      </w:r>
    </w:p>
    <w:p>
      <w:r>
        <w:t>En l’espèce, l’élève est encore mineure et se trouve donc dans l’obligation de suivre son père. Celui-ci ne démontre toutefois pas en quoi la crise du logement sévissant à Genève, qui a certes pour conséquence qu’il est difficile d’y trouver un logement adéquat, lui interdirait de venir s’établir dans ce canton ou ailleurs sur le territoire de la Confédération. La recourante se réfère au surplus à l’ATF 111 Ia 214. On ne voit néanmoins pas en quoi le cas du professeur examiné dans cet arrêt, auquel le canton de Genève imposait d’être domicilié à Genève alors qu’il ne le souhaitait pas, serait comparable à celui de l’élève dont le parent se plaint de ne pas pouvoir, pour des motifs économiques, habiter ce canton.</w:t>
      </w:r>
    </w:p>
    <w:p>
      <w:r>
        <w:rPr>
          <w:b/>
        </w:rPr>
        <w:t>E. 12</w:t>
      </w:r>
    </w:p>
    <w:p>
      <w:r>
        <w:t>Dans un sixième grief, la recourante se prévaut du droit aux mêmes avantages sociaux que les travailleurs salariés nationaux et les membres de leur famille et soutient qu’elle est, ainsi que son père, victimes d’une violation de la clause de stand still prévue par l’accord du 21 juin 1999 entre la Confédération suisse d’une part, et la Communauté européenne et ses États membres, d’autre part, sur la libre circulation des personnes (ALCP - RS 0.142.112.681).</w:t>
      </w:r>
    </w:p>
    <w:p>
      <w:r>
        <w:rPr>
          <w:b/>
        </w:rPr>
        <w:t>E. 12.1</w:t>
      </w:r>
    </w:p>
    <w:p>
      <w:r>
        <w:t>L’élève et son père possèdent la nationalité suisse. Il existe un aspect transfrontalier (lien d’extranéité ; voir à ce propos : Astrid EPINEY/ Gaëtan BLASER in Cesla AMARELLE/Minh Son NGUYEN [éd.], Code annoté de droit des migrations, vol. III, Accord sur la libre circulation des personnes [ALCP], 2014, n. 9 ad art. 2 ALCP). En effet, le père vit en France et a travaillé en Suisse. Quant à l’élève, elle vit en France et souhaite poursuivre sa scolarité en Suisse. L’ALCP est ainsi applicable au cas d’espèce.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 L’art. 2 ALCP ne trouvant en principe qu’une application à titre subsidiaire, il sera examiné plus loin.</w:t>
      </w:r>
    </w:p>
    <w:p>
      <w:r>
        <w:t>26/32 -</w:t>
      </w:r>
    </w:p>
    <w:p>
      <w:r>
        <w:t>A/2401/2025</w:t>
      </w:r>
    </w:p>
    <w:p>
      <w:r>
        <w:rPr>
          <w:b/>
        </w:rPr>
        <w:t>E. 12.2</w:t>
      </w:r>
    </w:p>
    <w:p>
      <w:r>
        <w:t>L’art. 3 par.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la recourante ne peut se prévaloir de cette disposition, ce qu’elle ne fait du reste pas. Certes, dans leur avis de droit (p. 10/11), la Prof. Astrid EPINEY et Deborah SANGSUE relèvent qu’il serait éventuellement défendable d’appliquer l’art. 3 par.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la recourante ne peut ainsi pas déduire de l’art. 3 par. 6 de l’annexe I ALCP un droit à être admise dans l’enseignement secondaire II genevois.</w:t>
      </w:r>
    </w:p>
    <w:p>
      <w:r>
        <w:rPr>
          <w:b/>
        </w:rPr>
        <w:t>E. 12.3</w:t>
      </w:r>
    </w:p>
    <w:p>
      <w:r>
        <w:t>Selon l’art. 7 ALCP, les parties contractantes règlent, conformément à l’annexe I, notamment les droits mentionnés ci-après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op. cit., n. 3 ad art. 7 ALCP).</w:t>
      </w:r>
    </w:p>
    <w:p>
      <w:r>
        <w:rPr>
          <w:b/>
        </w:rPr>
        <w:t>E. 12.4</w:t>
      </w:r>
    </w:p>
    <w:p>
      <w:r>
        <w:t>L’art. 9 par. 2 de l’annexe I ALCP prévoit que le travailleur salarié et les membres de sa famille visés à l’art. 3 de cette annexe y bénéficient des mêmes avantages fiscaux et sociaux que les travailleurs salariés nationaux et les membres de leur famille. La notion d’avantage social ne saurait être interprétée limitativement (Alvaro BORGHI, La libre circulation des personnes entre la Suisse et l’UE,</w:t>
      </w:r>
    </w:p>
    <w:p>
      <w:r>
        <w:t>27/32 -</w:t>
      </w:r>
    </w:p>
    <w:p>
      <w:r>
        <w:t>A/2401/2025</w:t>
      </w:r>
    </w:p>
    <w:p>
      <w:r>
        <w:t>Commentaire article par article de l’accord du 21 juin 1999, 2010, p.183 n. 380).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Dans leur avis de droit (p. 15), la Prof. EPINEY et Deborah SANGSUE estiment que l’admission dans l’enseignement public obligatoire constitue sans doute un avantage social au sens de l’art. 9 par. 2 de l’annexe I ALCP, vu l’interprétation large de cette notion donnée par la jurisprudence de la CJUE. Pour sa part, dans son avis de droit (p. 14), la Prof. Christine KADDOUS estime que l’admission dans l’enseignement primaire public genevois pourrait parfaitement être considérée comme un avantage social au sens de la jurisprudence. On ne voit toutefois pas en quoi cet accès à l’enseignement public serait comparable aux prestations sociales mentionnées plus haut, ces prestations ayant pour but d’améliorer la situation financière des bénéficiaires. La question de l’accès à l’enseignement général est par ailleurs déjà traitée exhaustivement à l’art. 3 par. 6 de l’annexe I ALCP, rien dans le texte de cette disposition, ni dans celui de l’art. 9 par. 2 de l’annexe I ALCP, ne permettant de conclure que des cas particuliers ou des exceptions seraient réservés. Même à considérer que l’accès à l’enseignement public constituerait un avantage social, l’art. 9 par. 2 de l’annexe I ALCP ne prévoit logiquement pas de déroger à la condition explicite de la résidence figurant à l’art. 3 par. 6 de l’annexe I ALCP. Les autorités genevoises seraient dans l’impossibilité de mettre en œuvre cet avantage social, puis d’en vérifier l’effectivité, s’agissant d’enfants qui ne sont pas domiciliés sur le territoire cantonal. Cet avantage social étant intrinsèquement lié à la résidence et non au statut de travailleur du frontalier, cela implique enfin que ce dernier ne puisse pas en bénéficier.</w:t>
      </w:r>
    </w:p>
    <w:p>
      <w:r>
        <w:rPr>
          <w:b/>
        </w:rPr>
        <w:t>E. 12.5</w:t>
      </w:r>
    </w:p>
    <w:p>
      <w:r>
        <w:t>L’art. 2 ALCP prévoit que les ressortissants d’une partie contractante qui séjournent légalement sur le territoire d’une autre partie contractante ne sont pas,</w:t>
      </w:r>
    </w:p>
    <w:p>
      <w:r>
        <w:t>28/32 -</w:t>
      </w:r>
    </w:p>
    <w:p>
      <w:r>
        <w:t>A/2401/2025</w:t>
      </w:r>
    </w:p>
    <w:p>
      <w:r>
        <w:t>dans l’application et conformément aux dispositions des annexes I, II et III de cet accord, discriminés en raison de leur nationalité. L’art. 2 ALCP érige l’interdiction de toute discrimination fondée sur la nationalité en tant que fondement de l’accord (Astrid EPINEY/Gaëtan BLASER, op. cit., n. 1 ad art. 2 ALCP). Pour déterminer si l’art. 2 ALCP est applicable à un cas concret et, le cas échéant, s’il est ou non respecté, quatre points doivent être examinés (Astrid EPINEY/Gaëtan BLASER, op. cit., n. 8 ad art. 2 ALCP).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(Astrid EPINEY/Gaëtan BLASER, op. cit., n. 13 ad art. 2 ALCP).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Dans le cas d’espèce, l’art. 2 ALCP est applicable sous les angles du lien d’extranéité et des champs d’application matériel et personnel. Le lien d’extranéité est donné en raison du caractère transfrontalier du litige et il n’est pas contesté que tant l’élève que son père sont des ressortissants de pays parties à l’ALCP se plaignant d’une entrave à leur libre circulation. Par contre, dès lors que l’art. 9 par. 2 de l’annexe I ALCP interdit de discriminer selon la nationalité l’accès des travailleurs frontaliers à un avantage social, cette dernière disposition constitue une disposition spécifique qui prime l’art. 2 ALCP. En raison de son caractère subsidiaire, l’art. 2 ALCP n’est donc pas applicable dans le cadre du présent litige.</w:t>
      </w:r>
    </w:p>
    <w:p>
      <w:r>
        <w:t>29/32 -</w:t>
      </w:r>
    </w:p>
    <w:p>
      <w:r>
        <w:t>A/2401/2025</w:t>
      </w:r>
    </w:p>
    <w:p>
      <w:r>
        <w:rPr>
          <w:b/>
        </w:rPr>
        <w:t>E. 12.6</w:t>
      </w:r>
    </w:p>
    <w:p>
      <w:r>
        <w:t>Le père de la recourante fait à plusieurs reprises référence au fait qu’il a payé des impôts à Genève. Sans en faire un grief en soi, il semble en tirer pour conséquences que sa fille ne peut, du fait de cet assujettissement, pas être empêchée d’accéder à l’enseignement secondaire II à Genève sans être discriminée.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secondaire II genevois à l’élève. La recourante se réfère en outre à un arrêt rendu par la CJUE le 2 avril 2020 (C-830/18). Cet arrêt examine toutefois les conditions de prise en charge des frais de transport scolaire d’un membre de la famille, et non, comme en l’espèce, les conditions d’accès à l’enseignement public. Si cet arrêt retient que ladite prise en charge constitue un avantage social, au sens de l’art. 7 par. 2 du règlement (UE) n° 492/2011 du Parlement européen et du Conseil du 5 avril 2011 relatif à la libre circulation des travailleurs à l’intérieur de l’Union, et conclut qu’une législation nationale qui subordonne cette prise en charge à une condition de résidence sur le territoire constitue une discrimination indirecte, il confirme néanmoins ce que la chambre constitutionnelle a retenu, à savoir que les prestations sociales reconnues sont de type économique, permettant l’amélioration de la situation financière des bénéficiaires.</w:t>
      </w:r>
    </w:p>
    <w:p>
      <w:r>
        <w:rPr>
          <w:b/>
        </w:rPr>
        <w:t>E. 12.7</w:t>
      </w:r>
    </w:p>
    <w:p>
      <w:r>
        <w:t>Le Tribunal fédéral a eu l’occasion de juger que l’art. 30 LIP – en tant qu’il posait comme condition pour avoir droit aux mesures de pédagogie spécialisée dispensées dans le canton de Genève, et partant à la gratuité de celles-ci, d’y être domicilié – ne violait pas les art. 2 ALCP et 9 par. 2 de l’annexe I ALCP (arrêt du Tribunal fédéral 2C_820/2018 du 11 juin 2019 consid. 4.3). Il a noté que la condition de la résidence était prévue par l’ALCP lui-même. En tant qu’il prévoyait une condition de domicile, l’art. 3 par. 6 de l’annexe I ALCP constituait en quelque sorte une réserve par rapport au principe général de non-discrimination de l’art. 2 ALCP, qui lui-même ne s’appliquait au demeurant qu’aux personnes qui séjournaient légalement sur le territoire de l’État concerné, ce qui n’était pas le cas de la personne concernée, domiciliée en France. Le but recherché de l’intégration voulait, en conséquence, que celle-ci bénéficie de l’enseignement spécialisé de ce pays et pas en Suisse (arrêt du Tribunal fédéral 2C_820/2018 précité consid. 4.1).</w:t>
      </w:r>
    </w:p>
    <w:p>
      <w:r>
        <w:t>30/32 -</w:t>
      </w:r>
    </w:p>
    <w:p>
      <w:r>
        <w:t>A/2401/2025</w:t>
      </w:r>
    </w:p>
    <w:p>
      <w:r>
        <w:t>En outre, le principe de la scolarisation au lieu de domicile ou de résidence était prévu par les législations cantonales, « tous cantons confondus ». Pour la Suisse romande, tel était le cas des cantons de Vaud, du Jura, de Fribourg, de Neuchâtel et du Valais (arrêt du Tribunal fédéral 2C_820/2018 précité consid. 4.2). Le grief d’une violation de l’art. 9 par. 2 de l’annexe I ALCP sera donc écarté.</w:t>
      </w:r>
    </w:p>
    <w:p>
      <w:r>
        <w:rPr>
          <w:b/>
        </w:rPr>
        <w:t>E. 12.8</w:t>
      </w:r>
    </w:p>
    <w:p>
      <w:r>
        <w:t>À teneur de l’art. 13 ALCP, dont l’intitulé est « stand still », les parties contractantes s’engagent à ne pas adopter de nouvelles mesures restrictives à l’égard des ressortissants de l’autre partie dans les domaines d’application du présent accord. La portée pratique de l’art. 13 ALCP est limitée, et ce pour deux raisons. Premièrement, seules les mesures restrictives « à l’égard des ressortissants de l’autre partie » contractante sont visées par la clause de stand still. Les restrictions à l’égard des membres de la famille ou des travailleurs détachés ressortissants d’États tiers n’entrent pas dans le champ d’application de la clause. Deuxièmement, il est admis que la clause de stand still s’oppose uniquement à l’adoption de mesures discriminatoires (directes ou indirectes) et n’offre dès lors aucune garantie supplémentaire par rapport aux autres dispositions de l’ALCP interdisant les discriminations (Véronique BOILLET in Cesla AMARELLE/ Minh SON NGUYEN [éd.], op. cit., n. 3 ad art. 13 ALCP). Dans son avis de droit, la Prof. KADDOUS compare l’art. 23 aREP dans sa formulation à la date de l’entrée en vigueur de l’ALCP, soit le 1er juin 2002, avec sa formulation applicable le 14 février 2018. Elle relève que cette dernière version introduirait une nouvelle condition qui ne figurait pas dans la version en vigueur le 1er juin 2002. Toutefois, l’art. 23 aREP, comme l’art. 25 aRCO, ne limitait en aucune manière le droit d’accès à l’enseignement public genevois. Au contraire, il élargissait le champ des élèves pouvant intégrer cet enseignement (ATA/1017/2019 précité consid. 24b ; ATA/1044/2019 du 18 juin 2019 consid. 22b). Ce constat s’impose également pour l’art. 3 aRAES-II. La limitation du droit d’accès à l’enseignement obligatoire à Genève découle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 publiques. L’année scolaire débute entre la mi-août et la mi-septembre (al. 2). Les nouveautés introduites depuis, qui concernent la formation pour les personnes</w:t>
      </w:r>
    </w:p>
    <w:p>
      <w:r>
        <w:t>31/32 -</w:t>
      </w:r>
    </w:p>
    <w:p>
      <w:r>
        <w:t>A/2401/2025</w:t>
      </w:r>
    </w:p>
    <w:p>
      <w:r>
        <w:t>handicapées et la coordination scolaire, ne constituent toutefois pas des mesures restrictives à l’égard des bénéficiaires de l’ALCP. Mal fondé, le recours sera rejeté.</w:t>
      </w:r>
    </w:p>
    <w:p>
      <w:r>
        <w:rPr>
          <w:b/>
        </w:rPr>
        <w:t>E. 13</w:t>
      </w:r>
    </w:p>
    <w:p>
      <w:r>
        <w:t>Vu l’issue du litige, un émolument de CHF 1'300.-, comprenant les frais liés à la procédure sur effet suspensif, sera mis à la charge de la recourante. L’enfant mineure ayant agi par son père, celui-ci se verra astreint au paiement dudit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