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ACST/37/2019 vom 21. November 2019</w:t>
      </w:r>
    </w:p>
    <w:p>
      <w:r>
        <w:t>GE Cour de justice, 2019-11-21, FR</w:t>
      </w:r>
    </w:p>
    <w:p>
      <w:r>
        <w:rPr>
          <w:b/>
        </w:rPr>
        <w:t xml:space="preserve">Quelle: </w:t>
      </w:r>
      <w:r>
        <w:t>https://mcp.opencaselaw.ch/entscheid/ge_gerichte_ACST_37_2019</w:t>
      </w:r>
    </w:p>
    <w:p>
      <w:r>
        <w:t>FR: GE_GERICHTE ACST/37/2019 du 21 novembre 2019</w:t>
      </w:r>
    </w:p>
    <w:p>
      <w:r>
        <w:t>IT: GE_GERICHTE ACST/37/2019 del 21 novembre 2019</w:t>
      </w:r>
    </w:p>
    <w:p>
      <w:pPr>
        <w:pStyle w:val="Heading2"/>
      </w:pPr>
      <w:r>
        <w:t>Erwägungen</w:t>
      </w:r>
    </w:p>
    <w:p>
      <w:r>
        <w:rPr>
          <w:b/>
        </w:rPr>
        <w:t>E. 7</w:t>
      </w:r>
    </w:p>
    <w:p>
      <w:r>
        <w:t>al. 1 et 2 LLE, dispositions d’une loi cantonale, en l’absence de cas d’application (ACST/22/2019 du 8 mai 2019 consid. 2a et les références citées).</w:t>
      </w:r>
    </w:p>
    <w:p>
      <w:r>
        <w:t>b. Interjeté dans le délai légal à compter de la promulgation de l’acte susmentionné, qui a eu lieu par arrêté du Conseil d’État publié dans la FAO du</w:t>
      </w:r>
    </w:p>
    <w:p>
      <w:r>
        <w:t>- 10/29 - A/1407/2019</w:t>
      </w:r>
    </w:p>
    <w:p>
      <w:r>
        <w:rPr>
          <w:b/>
        </w:rPr>
        <w:t>E. 8</w:t>
      </w:r>
    </w:p>
    <w:p>
      <w:r>
        <w:t>mars 2019,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(ACST/22/2019 précité consid. 3a et la référence citée).</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- 11/29 - A/1407/2019</w:t>
      </w:r>
    </w:p>
    <w:p>
      <w:r>
        <w:t>d. En l’espèce, les personnes physiques recourantes sont domiciliées à Genève et risquent de se voir appliquer les dispositions litigieuses, étant précisé que deux d’entre elles exercent un mandat électif au Grand Conseil et sont ainsi directement concernées par l’art. 3 al. 4 LLE. Elles ont, à ce titre, qualité pour recourir. Il en va de même de solidaritéS, qui est un parti politique constitué en association au sens du droit privé et actif dans le canton de Genève, dont certains des membres assurent une fonction élective cantonale ou communale. 4) a. Les recourants demandent préalablement leur comparution personnelle et leur audition.</w:t>
      </w:r>
    </w:p>
    <w:p>
      <w:r>
        <w:t>b.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et d’obtenir qu’il soit donné suite à ses offres de preuves pertinentes lorsque cela est de nature à influer sur la décision à rendre (ATF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2C_849/2018 du 18 septembre 2019 consid. 4.1). Les garanties de l’art. 29 al. 2 Cst. ne comprennent pas le droit d’être entendu oralement (ATF 140 I 68 consid. 9.6.1).</w:t>
      </w:r>
    </w:p>
    <w:p>
      <w:r>
        <w:t>c. En l’espèce, il ne se justifie pas d’ordonner la comparution personnelle des recourants ni leur audition, le dossier étant suffisamment complet pour permettre à la chambre de céans de se prononcer sur la conformité au droit supérieur des dispositions attaquées, étant précisé qu’aucun point de fait n’est discuté et que la cause est de nature exclusivement juridique. Les recourants ont en outre pu faire valoir leur point de vue devant la chambre de céans et, s’agissant des deux personnes physiques recourantes députées au Grand Conseil, également lors de l’adoption de la loi attaquée (cf. arrêt du Tribunal fédéral 2C_752/2018 précité consid. 3.1 s). Il s’ensuit que cette conclusion sera rejetée.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w:t>
      </w:r>
    </w:p>
    <w:p>
      <w:r>
        <w:t>- 12/29 - A/1407/2019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6) a. Selon les recourants, les art. 3, 6 et 7 LLE seraient contraires à la liberté de conscience et de croyance ainsi qu’à la liberté de réunion s’agissant des art. 6 et 7 LLE.</w:t>
      </w:r>
    </w:p>
    <w:p>
      <w:r>
        <w:t>b. L’art. 15 Cst.,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Şahin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w:t>
      </w:r>
    </w:p>
    <w:p>
      <w:r>
        <w:t>- 13/29 - A/1407/2019 public d’une manière dictée ou inspirée par sa religion ou ses convictions (ACEDH Leyla Şahin c. Turquie précité § 105 et 121).</w:t>
      </w:r>
    </w:p>
    <w:p>
      <w:r>
        <w:t>Au-delà des actes cultuels, la garantie constitutionnelle protège le respect des injonctions et usages religieux ainsi que les autres manifestations de la croyance, en tant que ces comportements constituent l’expression de la conviction religieuse (ACEDH Osmanoğlu et Kocabaş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w:t>
      </w:r>
    </w:p>
    <w:p>
      <w:r>
        <w:t>c. L’art. 22 Cst. garantit la liberté de réunion (al. 1), toute personne ayant le droit d’organiser des réunions et d’y prendre part ou non (al. 2). Les art. 32 Cst-GE,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ce cadre, l’autorité doit tenir compte d’une part des intérêts des organisateurs à pouvoir se réunir et s’exprimer et, d’autre part, de l’intérêt de la collectivité et des tiers à limiter les nuisances, notamment à prévenir les actes de violence. Il s’agit d’assurer l’utilisation adéquate des installations publiques disponibles dans l’intérêt de la collectivité et du voisinage ainsi que de limiter l’atteinte portée par la manifestation aux libertés des tiers non-manifestants (ATF 143 I 147 consid. 3).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(arrêt du Tribunal fédéral 1C_451/2018 précité consid. 3.1.1). 7)</w:t>
      </w:r>
    </w:p>
    <w:p>
      <w:r>
        <w:t>En l’espèce, si les personnes physiques recourantes sont incontestablement titulaires de la liberté de conscience et de croyance, la question peut souffrir de rester indécise s’agissant de l’association, qui ne poursuit, selon ses statuts, pas de but religieux ni ecclésiastique (ATF 142 I 195 consid. 5.2 ss).</w:t>
      </w:r>
    </w:p>
    <w:p>
      <w:r>
        <w:t>- 14/29 - A/1407/2019</w:t>
      </w:r>
    </w:p>
    <w:p>
      <w:r>
        <w:t>En tant que l’art. 3 al. 3, 4 et 5 LLE impose aux membres du Conseil d’État, d’un exécutif communal, aux magistrats du Pouvoir judiciaire et de la Cour des comptes, aux membres du Grand Conseil et des conseils municipaux ainsi qu’aux agents de l’État et des personnes morales de droit public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 Les administrés sont également soumis à un certain nombre de restrictions, mentionnées à l’art. 7 al. 1 (signes religieux ostentatoires) et al. 2 (visibilité du visage), aux conditions mentionnées par ces dispositions, ce qui emporte également une ingérence à leur liberté religieuse.</w:t>
      </w:r>
    </w:p>
    <w:p>
      <w:r>
        <w:t>L’art. 3 al. 3 et 5 LLE impose au surplus aux membres du Conseil d’État, d’un exécutif communal, aux magistrats du Pouvoir judiciaire et de la Cour des comptes ainsi qu’aux agents de l’État et des personnes morales de droit public de s’abstenir de signaler leur appartenance non seulement par des signes extérieurs, mais également par des propos, ce qui touche aussi à l’aspect externe de cette liberté. Dans ce cadre, la liberté d’expression garantie par les art. 16 al. 2 Cst.,</w:t>
      </w:r>
    </w:p>
    <w:p>
      <w:r>
        <w:rPr>
          <w:b/>
        </w:rPr>
        <w:t>E. 10</w:t>
      </w:r>
    </w:p>
    <w:p>
      <w:r>
        <w:t>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w:t>
      </w:r>
    </w:p>
    <w:p>
      <w:r>
        <w:t>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op. cit., vol. II, n. 1946).</w:t>
      </w:r>
    </w:p>
    <w:p>
      <w:r>
        <w:t>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4e éd., 2016, § 7 n. 115 ; Andreas AUER / Giorgio MALINVERNI / Michel HOTTELIER, Droit constitutionnel suisse, vol.</w:t>
      </w:r>
    </w:p>
    <w:p>
      <w:r>
        <w:t>- 15/29 - A/1407/2019 II, 3e éd., 2013, n. 254 ; Christof RIEDO / Marcel Alexander NIGGLI, Unantastbar ? Bemerkungen zum so genannten Kerngehalt von Grundrechten oder Much Ado About Nothing, PJA 2011 p. 762-770). À l’instar des autres libertés, elle peut ainsi être restreinte aux conditions posées par l’art. 36 Cst. 8)</w:t>
      </w:r>
    </w:p>
    <w:p>
      <w:r>
        <w:t>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 9)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w:t>
      </w:r>
    </w:p>
    <w:p>
      <w:r>
        <w:t>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w:t>
      </w:r>
    </w:p>
    <w:p>
      <w:r>
        <w:t>- 16/29 - A/1407/2019 d’adapter leur comportement en conséquence (arrêt du Tribunal fédéral 2C_546/2018 précité consid. 4.3.3).</w:t>
      </w:r>
    </w:p>
    <w:p>
      <w:r>
        <w:t>b. En l’espèce, les dispositions litigieuses figurent dans la LLE, soit une loi au sens formel qui a été soumise au référendum.</w:t>
      </w:r>
    </w:p>
    <w:p>
      <w:r>
        <w:t>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w:t>
      </w:r>
    </w:p>
    <w:p>
      <w:r>
        <w:t>Il en va de même s’agissant de la portée des art. 6 et 7 LLE. En effet, l’art. 6 al. 1 et 2 LLE se limite aux manifestations cultuelles, lesquelles sont soumises à autorisation en cas d’utilisation du domaine public. Quant à l’art. 7 LLE, il limite son application aux signes religieux ostentatoires pour une durée limitée (avec un contrôle judiciaire à bref délai ; al. 1) et aux seules administrations publiques, établissements publics ou subventionnés et tribunaux s’agissant de la visibilité du visage (al. 2), sans autre restriction aux signes religieux extérieurs.</w:t>
      </w:r>
    </w:p>
    <w:p>
      <w:r>
        <w:t>De ce point de vue, l’on ne saurait, objectivement et abstraitement, qualifier l’atteinte de grave, de sorte que des exigences trop sévères quant à la précision de la formulation des dispositions contestées ne peuvent être posées (cf. ATF 128 I 295 consid. 5b/aa).</w:t>
      </w:r>
    </w:p>
    <w:p>
      <w:r>
        <w:t>c. Selon les recourants, les dispositions litigieuses ne seraient pas suffisamment déterminées, puisqu’elles ne comportent aucune définition des termes utilisés, qui seraient sujets à interprétation. S’il est vrai que la formulation des art. 3 al. 3, 4 et 5, art. 6 al. 1 et 2 et art. 7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w:t>
      </w:r>
    </w:p>
    <w:p>
      <w:r>
        <w:t>Bien que la distinction entre les manifestations religieuses de nature cultuelle et non cultuelle de l’art. 6 LLE puisse ne pas être évidente à prime abord, il ressort néanmoins des travaux législatifs que les premières concernent</w:t>
      </w:r>
    </w:p>
    <w:p>
      <w:r>
        <w:t>- 17/29 - A/1407/2019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Il en va de même de l’art. 7 al. 1 LLE, qui concrétise le pouvoir général de police, lequel permet de limiter valablement les libertés en conférant le droit à l’autorité, sans se fonder sur une base constitutionnelle ou légale expresse, de prendre les mesures indispensables pour rétablir l’ordre public s’il a été troublé ou pour le préserver d’un danger sérieux qui le menace de manière directe ou imminente (Andreas AUER / Giorgio MALINVERNI / Michel HOTTELIER, op. cit., vol. II, n. 206).</w:t>
      </w:r>
    </w:p>
    <w:p>
      <w:r>
        <w:t>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(ACST/19/2018 précité consid. 6c). 10)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Selon les recourants, les dispositions contestées ne poursuivraient aucun intérêt public en raison de leurs nombreux cas et lieux d’application.</w:t>
      </w:r>
    </w:p>
    <w:p>
      <w:r>
        <w:t>L’art. 3 al. 3, 4 et 5 et l’art.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w:t>
      </w:r>
    </w:p>
    <w:p>
      <w:r>
        <w:t>- 18/29 - A/1407/2019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Şahin c. Turquie précité § 99).</w:t>
      </w:r>
    </w:p>
    <w:p>
      <w:r>
        <w:t>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comme le soutiennent les recourants en se fondant sur les travaux législatifs ayant mené à l’adoption de la LLE, n’y change rien et n’est pas déterminant, la disposition constitutionnelle en cause ne le prohibant pas non plus.</w:t>
      </w:r>
    </w:p>
    <w:p>
      <w:r>
        <w:t>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w:t>
      </w:r>
    </w:p>
    <w:p>
      <w:r>
        <w:t>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L’art. 7 LLE poursuit également des buts d’ordre et de sécurité publics en limitant, d’une part, le port de signes religieux ostentatoires en cas de troubles graves à l’ordre public et, d’autre part, en exigeant des administrés qu’ils montrent leur visage en certains lieux (cf. ACEDH S.A.S c. France précité § 115, 121 et 122, dans lequel la CourEDH a, s’agissant de l’interdiction de se couvrir le visage en public, considéré qu’une telle réglementation pouvait également poursuivre un but de protection des droits et libertés d’autrui, ce qui requérait toutefois un examen rigoureux sous l’angle de la proportionnalité).</w:t>
      </w:r>
    </w:p>
    <w:p>
      <w:r>
        <w:t>- 19/29 - A/1407/2019</w:t>
      </w:r>
    </w:p>
    <w:p>
      <w:r>
        <w:t>L’adoption des dispositions contestées répond ainsi à des intérêts publics admissibles. 11)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w:t>
      </w:r>
    </w:p>
    <w:p>
      <w:r>
        <w:t>b.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Kurtulmuş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 impartialité (§ 64 ; voir également l’ACEDH Eweida et autres c. Royaume-Uni du</w:t>
      </w:r>
    </w:p>
    <w:p>
      <w:r>
        <w:rPr>
          <w:b/>
        </w:rPr>
        <w:t>E. 15</w:t>
      </w:r>
    </w:p>
    <w:p>
      <w:r>
        <w:t>mars 2019 relatif à l’initiative populaire « Oui à l’interdiction de se dissimuler le visage » et au contre-projet indirect [loi fédérale sur la dissimulation du visage], FF 2019 2895 ; FF 2019 2931). Il a en particulier considéré que l’initiative allait trop loin en prévoyant une interdiction générale de se dissimuler le visage dans l’espace public et en interdisant au législateur de prévoir d’autres exceptions que celles mentionnées. Le port de la burqa et du niqab étaient en outre des phénomènes marginaux en Suisse et concernait principalement des touristes. Au demeurant, le port de masques et de cagoules lors de manifestations était déjà largement réglementé au niveau cantonal, les cantons devant rester, dans tous les cas, libres de légiférer lorsqu’ils l’estimaient nécessaire. Il ne pouvait pas non plus être exclu que l’initiative ait des effets négatifs sur la cohésion sociale et qu’elle conduise à exclure certaines femmes de l’espace public (Message, op. cit., p. 2922). Toutefois, dans la mesure où le fait de se dissimuler le visage pouvait poser problème lorsqu’une autorité devait identifier une personne et que celle-ci refusait de montrer son visage, le Conseil fédéral a proposé un contre-projet indirect à l’initiative, sous la forme d’une loi fédérale, qui instaure une obligation de montrer son visage lorsque le représentant d’une autorité suisse, en vertu du droit fédéral, doit, dans le cadre de l’accomplissement de sa tâche, identifier une personne (FF 2019 2933).</w:t>
      </w:r>
    </w:p>
    <w:p>
      <w:r>
        <w:t>À Genève, la LMDPu prévoit qu’il est interdit à quiconque participe à une manifestation notamment de revêtir, sauf dérogation par le Conseil d’État, une tenue destinée à empêcher son identification, un équipement de protection ou un masque à gaz (art. 6 al. 1 let. a LMDPu). 12) a. En l’espèce, les recourants tiennent pour disproportionnées les restrictions à la liberté de conscience et de croyance opérées par les art. 3 al. 3, 4 et 5, 6 al. 1 et 2 et 7 LLE.</w:t>
      </w:r>
    </w:p>
    <w:p>
      <w:r>
        <w:t>b.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w:t>
      </w:r>
    </w:p>
    <w:p>
      <w:r>
        <w:t>- 22/29 - A/1407/2019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 précédemment mentionné, d’exercer leurs charges de manière indépendante et impartiale.</w:t>
      </w:r>
    </w:p>
    <w:p>
      <w:r>
        <w:t>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w:t>
      </w:r>
    </w:p>
    <w:p>
      <w:r>
        <w:t>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w:t>
      </w:r>
    </w:p>
    <w:p>
      <w:r>
        <w:t>- 23/29 - A/1407/2019</w:t>
      </w:r>
    </w:p>
    <w:p>
      <w:r>
        <w:t>La portée de l’art. 3 al. 3 et 5 LLE est au surplus limitée tant quant à son objet qu’à sa durée, puisqu’il s’applique, d’une part, aux seuls propos et signes extérieurs et, d’autre part, aux contacts avec le public. La disposition litigieuse respecte ainsi le principe de proportionnalité et est conforme à la jurisprudence (ATF 123 I 296 consid. 4 ; arrêt du Tribunal fédéral 2C_546/2018 précité consid. 4.6).</w:t>
      </w:r>
    </w:p>
    <w:p>
      <w:r>
        <w:t>c. La situation se présente sous un autre angle s’agissant des membres du Grand Conseil et des conseils municipaux, dont la condition et la fonction ne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w:t>
      </w:r>
    </w:p>
    <w:p>
      <w:r>
        <w:t>- 24/29 - A/1407/2019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recourants, l’art. 3 al. 4 LLE, de même d’ailleurs que l’art. 3 al. 3 LLE, ne contrevient pas à la garantie de l’art. 34 Cst., qui protège la liberté de vote, dans la mesure où il n’empêche pas, pour les électeurs, de porter leur choix sur les candidats qu’ils souhaitent élire ni pour les candidats qui remplissent les conditions requises de se faire élire.</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w:t>
      </w:r>
    </w:p>
    <w:p>
      <w:r>
        <w:t>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w:t>
      </w:r>
    </w:p>
    <w:p>
      <w:r>
        <w:t>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recourants, il n’apparaît, selon les travaux législatifs, pas avoir de portée propre pour refuser une autorisation de manifestation religieuse selon l’al. 2 ou 3 de l’art. 6 LLE, mais rappelle les éléments entrant en compte dans l’octroi ou le refus de l’autorisation y relative.</w:t>
      </w:r>
    </w:p>
    <w:p>
      <w:r>
        <w:t>- 25/29 - A/1407/2019</w:t>
      </w:r>
    </w:p>
    <w:p>
      <w:r>
        <w:t>e. Pour des raisons tenant à l’ordre et à la sécurité publics, l’art. 7 al. 1 LLE permet au Conseil d’État de restreindre ou d’interdire le port de signes religieux ostentatoires. Bien que cette disposition ne comporte aucune définition de ce dernier terme, il ressort des travaux préparatoires qu’il doit s’agir de signes religieux provocateurs uniquement, sans que ne soient concernés d’autres signes religieux extérieurs, même forts, la kippa juive ou le voile islamique n’étant pas visés. L’autorité en charge de l’application de cette disposition devra ainsi, pour atteindre le but d’intérêt public visé, à savoir la préservation de l’ordre et de la sécurité publics, interpréter ces termes strictement, étant précisé que s’il devait s’agir de signes religieux recouvrant le visage, devrait alors également être interdite toute tenue empêchant l’identification des personnes, et ce de manière générale, sans lien avec une quelconque appartenance religieuse, sous peine de rendre vaine la réalisation de l’objectif poursuivi par l’art. 7 al. 1 LLE. En outre, étant donné le vaste champ d’application de cette disposition, qui concerne le domaine public et les bâtiments publics de manière générale, sa mise en œuvre ne devra se faire que de manière très restrictive, afin de prévenir strictement des troubles graves à l’ordre et à la sécurité publics en raison d’un danger qui les menace de manière directe et imminente, comme l’indique du reste l’exposé des motifs relatif à cette disposition. Sous ces angles, l’art. 7 al. 1 LLE se prête ainsi à une interprétation conforme au droit supérieur, étant précisé que son application pourra faire l’objet d’un contrôle judiciaire à brève échéance, le délai indiqué, de quinze jours, constituant un simple délai d’ordre au regard du temps nécessaire aux échanges d’écritures et à ce qu’il soit statué sur le fond de la demande.</w:t>
      </w:r>
    </w:p>
    <w:p>
      <w:r>
        <w:t>L’art. 7 al. 2 LLE exige la visibilité du visage des administrés dans les administrations publiques, les établissements publics ou subventionnés ainsi que dans les tribunaux. Une telle mesure, qui est limitée à certains lieux et n’empêche pas le port de signes religieux en tant que tels, est conforme au principe de proportionnalité, pour autant toutefois qu’elle soit appliquée également à tout vêtement ou couvre-chef masquant le visage, même sans connotation religieuse. Les travaux préparatoires mentionnent d’ailleurs à titre d’exemple d’exception le port du masque au sein d’un hôpital, preuve que tout administré, indépendamment de l’existence ou non d’un signe religieux, doit en principe montrer son visage dans les lieux limitativement indiqués. À cela s’ajoute qu’en tant qu’une telle mesure ne peut se justifier pour d’autres motifs qu’aux fins d’identification, afin d’assurer dans ce cas le respect de l’ordre et de la sécurité publics, et non pas par les conditions du « vivre ensemble », elle devra être appliquée de manière raisonnée. En édictant les exceptions à cette obligation, le Conseil d’État devra en outre s’inspirer des récents développements jurisprudentiels en la matière (ATF 144 I 281). 13) a. Les recourants soutiennent que les dispositions attaquées seraient discriminatoires. Ce grief sera toutefois examiné en lien avec le seul art. 3 al. 3 et 5 LLE, au regard du sort réservé à l’art. 3 al. 4 LLE et de l’interprétation</w:t>
      </w:r>
    </w:p>
    <w:p>
      <w:r>
        <w:t>- 26/29 - A/1407/2019 conforme au droit supérieur qu’il est possible de donner aux autres dispositions contestées.</w:t>
      </w:r>
    </w:p>
    <w:p>
      <w:r>
        <w:t>b.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w:t>
      </w:r>
    </w:p>
    <w:p>
      <w:r>
        <w:t>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w:t>
      </w:r>
    </w:p>
    <w:p>
      <w:r>
        <w:t>c. Contrairement à ce que soutiennent les recourants,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ou contre les femmes de manière générale. En effet, la disposition litigieuse pourrait s’appliquer également à un homme revêtant, dans les mêmes circonstances, les</w:t>
      </w:r>
    </w:p>
    <w:p>
      <w:r>
        <w:t>- 27/29 - A/1407/2019 habits propres à une autre confession, tels la kippa précitée ou le turban sikh (voir, à ce propos, l’ATF 119 IV 260). Ce grief sera dès lors écarté. 14) a. Les recourants se plaignent, enfin, d’une violation des droits politiques, garantie à laquelle l’art. 3 al. 3 et 4 LLE serait contraire.</w:t>
      </w:r>
    </w:p>
    <w:p>
      <w:r>
        <w:t>b.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l’art. 44 Cst-GE garantissant les droits politiques en des termes similaires (ACST/30/2019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w:t>
      </w:r>
    </w:p>
    <w:p>
      <w:r>
        <w:t>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15) Il s’ensuit que le recours sera très partiellement admis et l’art. 3 al. 4 LLE annulé. 16) Vu l’issue du litige, un émolument – réduit – de CHF 1'000.- sera mis à la charge des recourants (art. 87 al. 1 LPA), qui succombent dans une large mesure. Aucune indemnité de procédure ne leur sera alloué, étant donné l’absence de conclusion dans ce sens (art. 87 al. 2 LPA).</w:t>
      </w:r>
    </w:p>
    <w:p>
      <w:r>
        <w:t>* * * * *</w:t>
      </w:r>
    </w:p>
    <w:p>
      <w:r>
        <w:t>- 28/29 - A/1407/2019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