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ACST/36/2021 vom 21. Oktober 2021</w:t>
      </w:r>
    </w:p>
    <w:p>
      <w:r>
        <w:t>GE Cour de justice, 2021-10-21, FR</w:t>
      </w:r>
    </w:p>
    <w:p>
      <w:r>
        <w:rPr>
          <w:b/>
        </w:rPr>
        <w:t xml:space="preserve">Quelle: </w:t>
      </w:r>
      <w:r>
        <w:t>https://mcp.opencaselaw.ch/entscheid/ge_gerichte_ACST_36_2021</w:t>
      </w:r>
    </w:p>
    <w:p>
      <w:r>
        <w:t>FR: GE_GERICHTE ACST/36/2021 du 21 octobre 2021</w:t>
      </w:r>
    </w:p>
    <w:p>
      <w:r>
        <w:t>IT: GE_GERICHTE ACST/36/2021 del 21 ottobre 2021</w:t>
      </w:r>
    </w:p>
    <w:p>
      <w:pPr>
        <w:pStyle w:val="Heading2"/>
      </w:pPr>
      <w:r>
        <w:t>Erwägungen</w:t>
      </w:r>
    </w:p>
    <w:p>
      <w:r>
        <w:rPr>
          <w:b/>
        </w:rPr>
        <w:t>E. 4</w:t>
      </w:r>
    </w:p>
    <w:p>
      <w:r>
        <w:t>novembre 1950 (CEDH - RS 0.101) et 29 Cst. Dès lors que la disposition conventionnelle garantissant le droit à un procès équitable n’offre en principe pas de protection plus étendue que les art. 29 et 29a Cst. (ATF 130 I 312 consid. 1.1), la question de son application dans le cadre de la LPLA pourra souffrir de rester indécise.</w:t>
      </w:r>
    </w:p>
    <w:p>
      <w:r>
        <w:t>Cela étant, la jurisprudence de la Cour européenne des droits de l’homme (ci-après : Cour EDH) admet que l’utilisation de dépositions anonymes pour asseoir une condamnation pénale n’est pas en toutes circonstances incompatible avec la CEDH, en particulier l’art. 6 CEDH, les principes du procès équitable commandant également que, dans les cas appropriés, les intérêts de la défense soient mis en balance avec ceux des témoins ou des victimes appelés à déposer (ACEDH Doorson c. Pays-Bas du 26 mars 1996, req. 20524/92, recueil 1996-II, § 70 ss).</w:t>
      </w:r>
    </w:p>
    <w:p>
      <w:r>
        <w:t>b. Aux termes de l’art. 29 al. 1 Cst., toute personne a droit, dans une procédure judiciaire ou administrative, à ce que sa cause soit traitée équitablement et jugée dans un délai raisonnable.</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w:t>
      </w:r>
    </w:p>
    <w:p>
      <w:r>
        <w:t>- 15/19 -</w:t>
      </w:r>
    </w:p>
    <w:p>
      <w:r>
        <w:t>A/1567/2021</w:t>
      </w:r>
    </w:p>
    <w:p>
      <w:r>
        <w:t>de manière inadmissible l’accès aux tribunaux (ATF 142 IV 299 consid. 1.3.2). Selon la jurisprudence, commet un déni de justice formel et viole l’art. 29 al. 1 Cst., l’autorité qui n’entre pas en matière dans une cause qui lui est soumise dans les formes et délai prescrits, alors qu’elle devrait s’en saisir (ATF 142 II 154 consid. 4.1). Il peut en résulter une violation de la garantie de l’accès au juge ancrée à l’art. 29a Cst., qui donne le droit d’accès à une autorité judiciaire exerçant un pouvoir d’examen complet sur les faits et le droit (ATF 137 I 235 consid. 2.5 ; arrêt du Tribunal fédéral 2C_212/2020 du 17 août 2020 consid. 3.2). Cette garantie ne s’oppose cependant pas aux conditions de recevabilité habituelles d’un recours ou d’une action (ATF 143 I 344 consid. 8.2).</w:t>
      </w:r>
    </w:p>
    <w:p>
      <w:r>
        <w:t>Par ailleurs, le principe de l’égalité des armes, tel qu’il découle du droit à un procès équitable au sens de l’art. 29 al. 1 Cst., requiert que chaque partie se voie offrir une possibilité raisonnable de présenter sa cause dans des conditions qui ne la placent pas dans une situation de net désavantage par rapport à son adversaire (ATF 137 IV 172 consid. 2.6 ; arrêt du Tribunal fédéral 2C_814/2020 du 18 mars 2021 consid. 3.1). 6) a. Le droit d’être entendu, garanti par l’art. 29 al. 2 Cst., comprend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Le droit d’être entendu est à la fois une institution servant à l'instruction de la cause et une faculté de la partie, en rapport avec sa personne, de participer au prononcé de décisions qui lèsent sa situation juridique (arrêt du Tribunal fédéral 8C_443/2020 du 27 mai 2021 consid. 4.2).</w:t>
      </w:r>
    </w:p>
    <w:p>
      <w:r>
        <w:t>b. Le droit de consulter le dossier s’étend à toutes les pièces décisives figurant au dossier et garantit que les parties puissent prendre connaissance des éléments fondant la décision et s’exprimer à leur sujet (ATF 142 I 86 consid. 2.2 ss). L’accès au dossier peut être supprimé ou limité dans la mesure où l’intérêt public, comme les intérêts importants de l’État, ou l’intérêt prépondérant de tiers, voire du requérant lui-même, exigent que tout ou partie des documents soient tenus secrets. Dans cette hypothèse, conformément au principe de la proportionnalité, l’autorité doit autoriser l’accès aux pièces dont la consultation ne compromet pas les intérêts en cause (ATF 126 I 7 consid. 2b) ; lorsqu’elle entend fonder sa décision sur des documents secrets, elle doit communiquer à l’intéressé la teneur essentielle de ces documents et lui donner l’occasion de s’exprimer à leur sujet (arrêt du Tribunal fédéral 1C_415/2019 du 27 mars 2020 consid. 2.3.1). Par ailleurs, savoir si une telle limitation est justifiée dépend des intérêts en présence,</w:t>
      </w:r>
    </w:p>
    <w:p>
      <w:r>
        <w:t>- 16/19 -</w:t>
      </w:r>
    </w:p>
    <w:p>
      <w:r>
        <w:t>A/1567/2021</w:t>
      </w:r>
    </w:p>
    <w:p>
      <w:r>
        <w:t>qu’il convient de peser (ATF 129 I 249 consid. 3 ; arrêt du Tribunal fédéral 1C_33/2020 du 26 mai 2021 consid. 3.3.3).</w:t>
      </w:r>
    </w:p>
    <w:p>
      <w:r>
        <w:t>c. Le principe de l’accusation est une composante du droit d’être entendu consacré par l’art. 29 al. 2 Cst. et peut aussi être déduit des art. 32 al. 2 Cst. et 6 par. 3 CEDH, qui n’ont à cet égard pas de portée distincte. Il implique que le prévenu sache exactement les faits qui lui sont imputés et quelles sont les peines et mesures auxquelles il est exposé, afin qu’il puisse s’expliquer et préparer efficacement sa défense (ATF 143 IV 63 consid. 2.2 ; arrêt du Tribunal fédéral 6B_630/2020 du 6 octobre 2020 consid. 1.1). 7)</w:t>
      </w:r>
    </w:p>
    <w:p>
      <w:r>
        <w:t>En l’espèce, les recourants soutiennent que l’anonymat du lanceur d’alerte favoriserait les dénonciations de mauvaise foi, effectuées dans un but peu honorable. Outre le fait qu’un tel grief relève de l’opportunité des choix effectués par le législateur, à savoir un organe politique soumis à un contrôle démocratique qui dispose d’une grande liberté dans l’élaboration des lois, et que la chambre de céans ne saurait annuler une disposition légale au seul motif que d’autres solutions paraîtraient envisageables, voire préférables, la lecture de la LPLA dans son ensemble montre que ladite loi vise à éviter ce type de situations. En effet, il ressort de l’art. 3 LPLA que seul peut être considéré comme un lanceur d’alerte le membre du personnel agissant de bonne foi et pour la sauvegarde de l’intérêt général, comme l’indique du reste l’art. 26 al. 3 Cst-GE sur lequel ladite loi se fonde. Lorsque tel n’est pas le cas, l’entité saisie n’a pas à donner suite au signalement et le dénonciateur ne peut se prévaloir d’aucune mesure de protection. Il en va d’ailleurs de même s’agissant du dénonciateur anonyme agissant de bonne foi, qui, s’il souhaite bénéficier de la protection active que lui confère la loi, devra révéler son identité à l’entité saisie, qui la gardera néanmoins confidentielle. Ces mesures visent ainsi à parer aux dénonciations effectuées à mauvais escient, en favorisant les signalements confidentiels mais en laissant néanmoins possibles les dénonciations anonymes, ce que la mise en œuvre de la loi permettra au demeurant de vérifier.</w:t>
      </w:r>
    </w:p>
    <w:p>
      <w:r>
        <w:t>À cela s’ajoute que le seul signalement, indépendamment de sa forme, anonyme ou non, ne donne pas encore lieu à la procédure prévue par la LPLA. En effet, une fois les faits parvenus à sa connaissance, l’entité saisie instruit le dossier afin de les établir, comme l’indique l’art. 6 al. 1 LPLA. Dans ce cadre, la procédure est régie par la maxime inquisitoire, selon laquelle l’autorité définit les faits pertinents et ne tient pour existants que ceux qui sont dûment prouvés (art. 19 LPA ; ATA/600/2021 du 8 juin 2021 consid. 7a). Sur cette base, l’autorité saisie forme librement sa conviction, en analysant la force probante des preuves administrées, selon le principe de la libre appréciation des preuves (art. 20 al. 1 LPA ; ATA/600/2021 précité consid. 7b). En application de ces principes, ce n’est que lorsque l’instruction révèle des éléments probants suffisants que les mesures visées par la LPLA peuvent être envisagées, indépendamment du mode</w:t>
      </w:r>
    </w:p>
    <w:p>
      <w:r>
        <w:t>- 17/19 -</w:t>
      </w:r>
    </w:p>
    <w:p>
      <w:r>
        <w:t>A/1567/2021</w:t>
      </w:r>
    </w:p>
    <w:p>
      <w:r>
        <w:t>de signalement effectué, anonyme ou non. En d’autres termes, que l’alerte émane d’une source anonyme ou confidentielle, elle donnera lieu à une instruction gouvernée par les principes susmentionnés, qui fera alors apparaître le signalement comme fondé ou non.</w:t>
      </w:r>
    </w:p>
    <w:p>
      <w:r>
        <w:t>Dans le cadre du présent contrôle abstrait de l’art. 5 al. 1 LPLA, l’on ne décèle pas en quoi le signalement anonyme serait en contradiction avec l’interdiction du déni de justice ou constitutif de formalisme excessif, comme le soutiennent les recourants, griefs qui pourraient, le cas échéant, être soulevés à l’occasion de l’application de la disposition querellée. L’on ne saurait du reste considérer que les personnes visées par une dénonciation anonyme se verraient restreintes dans leur droit de saisir les tribunaux et de bénéficier d’une protection efficace de leurs droits, puisque rien ne les empêcherait de saisir les autorités pénales, étant précisé que la situation ne diffère pas de celle dans laquelle l’identité du lanceur d’alerte est confidentielle. En particulier, l’art. 5 al. 1 LPA n’entrave pas l’application du droit pénal, dès lors que le dépôt d’une plainte demeure possible pour la personne visée par une dénonciation, que celle-ci soit confidentielle ou anonyme.</w:t>
      </w:r>
    </w:p>
    <w:p>
      <w:r>
        <w:t>La disposition litigieuse n’emporte pas davantage une violation du droit d’être entendu sous ses différentes composantes, le fait de permettre les signalements anonymes découlant d’un choix opéré par le législateur. Celui-ci a ainsi débattu de manière approfondie, tant en commission, où de nombreux intervenants ont fait valoir leur point de vue, qu’en séance plénière, des différentes possibilités offertes, évoquant les avantages et les inconvénients de chacune d’entre elles, pour finalement opter en faveur de la possibilité, pour le dénonciateur, de rester anonyme. Le Grand Conseil a ainsi effectué une pesée circonstanciée des différents intérêts en présence avant d’adopter l’art. 5 al. 1 LPLA, considérant qu’il existait un intérêt public prépondérant à détecter et corriger les dysfonctionnements au sein des entités soumises à l’application de la LPLA, dont le signalement ne devait pas être subordonné à la connaissance de l’identité du dénonciateur. Ce faisant, le législateur s’est délibérément écarté de l’art. 10A LPA proscrivant aux autorités administratives de donner suite à une dénonciation anonyme, qui constitue du reste un acte de même rang que la disposition litigieuse. Celle-ci n’empêche, au demeurant, pas le mis en cause de consulter le dossier, étant précisé que la situation ne se présente pas différemment lorsque l’identité du dénonciateur est maintenue confidentielle, puisque dans les deux cas elle ne sera pas dévoilée à la personne concernée.</w:t>
      </w:r>
    </w:p>
    <w:p>
      <w:r>
        <w:t>Les recourants soutiennent encore que l’anonymat du dénonciateur contreviendrait au droit d’être confronté à son accusateur. Dans le cadre de la procédure administrative, ce droit se confond toutefois avec le droit d’être entendu, si bien qu’il sera renvoyé aux précédents développements. Par ailleurs, l’art. 5 al. 1 LPLA n’a pas vocation à s’appliquer à une éventuelle procédure</w:t>
      </w:r>
    </w:p>
    <w:p>
      <w:r>
        <w:t>- 18/19 -</w:t>
      </w:r>
    </w:p>
    <w:p>
      <w:r>
        <w:t>A/1567/2021</w:t>
      </w:r>
    </w:p>
    <w:p>
      <w:r>
        <w:t>pénale parallèle, intentée par le mis en cause à l’encontre du dénonciateur, les autorités pénales n’étant pas liées par cette disposition, mais par le droit pénal applicable.</w:t>
      </w:r>
    </w:p>
    <w:p>
      <w:r>
        <w:t>Il s’ensuit que les griefs des recourants en lien avec une violation des garanties de procédure seront écartés. 8)</w:t>
      </w:r>
    </w:p>
    <w:p>
      <w:r>
        <w:t>Selon les recourants, l’art. 5 al. 1 LPLA emporterait enfin une violation de l’art. 26 al. 3 Cst-GE, aux termes duquel toute personne qui, de bonne foi et pour la sauvegarde de l’intérêt général, révèle à l’organe compétent des comportements illégaux constatés de manière licite bénéficie d’une protection adéquate. En alléguant que l’anonymat de la dénonciation empêcherait la réalisation de ces conditions, les recourants se limitent toutefois à proposer leur propre interprétation de cette disposition constitutionnelle, qui ne trouve pas de fondement dans son texte ni dans les travaux ayant mené à son adoption. En effet, outre que l’art. 26 al. 3 Cst-GE n’a pas été commenté lors des travaux de l’Assemblée constituante (BOAC tome XXV p. 12792 s), la commission thématique 1 « Dispositions générales et droits fondamentaux » n’a pas abordé la manière dont les informations devaient être révélées (procès-verbal de la séance n° 66 du 23 juin 2011, p. 10 ss). A toutefois été abordée la question de la protection du lanceur d’alerte, ce que l’anonymat prévu par l’art. 5 al. 1 LPLA permet de garantir. Ainsi, le fait qu’un signalement puisse avoir lieu de manière anonyme n’apparaît pas, en tant que tel, contraire à l’art. 26 al. 3 Cst-GE, ce que sa mise en œuvre permettra au demeurant de vérifier, en particulier s’agissant de la licéité du constat d’irrégularité porté à la connaissance de l’entité saisie. Ce grief sera par conséquent également écarté.</w:t>
      </w:r>
    </w:p>
    <w:p>
      <w:r>
        <w:t>Entièrement mal fondé, le recours sera par conséquent rejeté. 9)</w:t>
      </w:r>
    </w:p>
    <w:p>
      <w:r>
        <w:t>Vu l’issue du litige, un émolument de CHF 1'500.- sera mis à la charge solidaire des recourants, qui succombent (art. 87 al. 1 LPA), et aucune indemnité de procédure ne leur sera allouée, pas plus qu’à l’intimé, qui dispose de son propre service juridique et n’a pris aucune conclusion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