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ACST/36/2019 vom 21. November 2019</w:t>
      </w:r>
    </w:p>
    <w:p>
      <w:r>
        <w:t>GE Cour de justice, 2019-11-21, FR</w:t>
      </w:r>
    </w:p>
    <w:p>
      <w:r>
        <w:rPr>
          <w:b/>
        </w:rPr>
        <w:t xml:space="preserve">Quelle: </w:t>
      </w:r>
      <w:r>
        <w:t>https://mcp.opencaselaw.ch/entscheid/ge_gerichte_ACST_36_2019</w:t>
      </w:r>
    </w:p>
    <w:p>
      <w:r>
        <w:t>FR: GE_GERICHTE ACST/36/2019 du 21 novembre 2019</w:t>
      </w:r>
    </w:p>
    <w:p>
      <w:r>
        <w:t>IT: GE_GERICHTE ACST/36/2019 del 21 novembre 2019</w:t>
      </w:r>
    </w:p>
    <w:p>
      <w:pPr>
        <w:pStyle w:val="Heading2"/>
      </w:pPr>
      <w:r>
        <w:t>Erwägungen</w:t>
      </w:r>
    </w:p>
    <w:p>
      <w:r>
        <w:rPr>
          <w:b/>
        </w:rPr>
        <w:t>E. 8</w:t>
      </w:r>
    </w:p>
    <w:p>
      <w:r>
        <w:t>mars 2019, et dans les formes prévues par la loi, le recours est recevable sous cet angle (art. 62 al. 1 let. d et al. 3 et 65 de la loi sur la procédure administrative du 12 septembre 1985 - LPA - E 5 10). 3)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(ACST/22/2019 précité consid. 3a et la référence citée).</w:t>
      </w:r>
    </w:p>
    <w:p>
      <w:r>
        <w:t>- 9/19 - A/1389/2019</w:t>
      </w:r>
    </w:p>
    <w:p>
      <w:r>
        <w:t>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2C_752/2018 du 29 août 2019 consid. 1.2).</w:t>
      </w:r>
    </w:p>
    <w:p>
      <w:r>
        <w:t>La qualité pour recourir suppose en outre un intérêt actuel à obtenir l’annulation de l’acte entrepris, cet intérêt devant exister tant au moment du dépôt du recours qu’au moment où l’arrêt est rendu (ATF 142 I 135 consid. 1.3.1 ; ACST/22/2019 précité consid. 3b).</w:t>
      </w:r>
    </w:p>
    <w:p>
      <w:r>
        <w:t>c. En l’espèce, en tant qu’il exerce un mandat électif au niveau communal, le recourant est directement concerné par l’art. 3 al. 4 LLE. Il risque également de se voir appliquer l’art. 6 LLE en cas d’organisation d’une manifestation religieuse. Il a dès lors qualité pour recourir, de sorte que le recours est également recevable de ce point de vue. 4)</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w:t>
      </w:r>
    </w:p>
    <w:p>
      <w:r>
        <w:t>- 10/19 - A/1389/2019 législateur pouvait les prévoir, l’éventualité que, dans certains cas, elle puisse se révéler inconstitutionnelle ne saurait en principe justifier une intervention du juge au stade du contrôle abstrait (ATF 145 I 26 consid. 1.4 ; arrêt du Tribunal fédéral 2C_752/2018 précité consid. 2 ; ACST/22/2019 précité consid. 4). 5) a. Selon le recourant, les art. 3 al. 4 et 6 LLE seraient contraires à la liberté de conscience et de croyance.</w:t>
      </w:r>
    </w:p>
    <w:p>
      <w:r>
        <w:t>b. L’art. 15 Cst., comme les art. 25 Cst-GE, 8 de la Convention de sauvegarde des droits de l’homme et des libertés fondamentales du 4 novembre 1950 (CEDH - RS 0.101) et 18 du Pacte international du 16 décembre 1966 relatif aux droits civils et politiques (Pacte II - RS 0.103.2), garantit la liberté de conscience et de croyance (al. 1) et accorde à toute personne le droit de choisir librement sa religion ainsi que de se forger ses convictions philosophiques et de les professer individuellement ou en communauté (al. 2), d’adhérer à une communauté religieuse ou d’y appartenir et de suivre un enseignement religieux (al. 3). En outre, nul ne peut être contraint d’adhérer à une communauté religieuse ou d’y appartenir, d’accomplir un acte religieux ou de suivre un enseignement religieux (al. 4).</w:t>
      </w:r>
    </w:p>
    <w:p>
      <w:r>
        <w:t>La liberté religieuse englobe tant la liberté intérieure de croire, de ne pas croire ou de modifier ses convictions religieuses que la liberté extérieure d’exprimer ses convictions, de les pratiquer et de les divulguer dans certaines limites, ou de ne pas les partager (ATF 145 I 121 consid. 5.1 et les références citées ; ACEDH Kokkinakis c. Grèce du 25 mai 1993, série A n° 260-A, § 31 et Otto-Preminger-Institut c. Autriche du 20 septembre 1994, série A n° 276, § 47), sous la forme de culte, d’enseignement, de pratiques ou d’accomplissement de rites (ACEDH Leyla Şahin c. Turquie du 10 novembre 2005, Rec. 2005-XI, § 105). Elle figure, dans sa dimension religieuse, parmi les éléments les plus essentiels de l’identité des croyants et de leur conception de la vie, mais elle est aussi un bien précieux pour les athées, les agnostiques, les sceptiques ou les indifférents (ACEDH İzzettin Doğan et autres c. Turquie du 26 avril 2016, req. 62649/10, § 103). Elle inclut le droit de chacun de se comporter en principe selon les enseignements de sa foi et d’agir conformément à ses convictions. Elle protège toutes les religions, quel que soit le nombre de leurs fidèles en Suisse (ATF 145 I 121 consid. 5.1 ; 142 I 49 consid. 3.4 et les références citées). Elle ne protège toutefois pas n’importe quel acte motivé ou inspiré par une religion ou conviction et ne garantit pas toujours le droit de se comporter dans le domaine public d’une manière dictée ou inspirée par sa religion ou ses convictions (ACEDH Leyla Şahin c. Turquie précité § 105 et 121).</w:t>
      </w:r>
    </w:p>
    <w:p>
      <w:r>
        <w:t>Au-delà des actes cultuels, la garantie constitutionnelle protège le respect des injonctions et usages religieux ainsi que les autres manifestations de la croyance, en tant que ces comportements constituent l’expression de la conviction religieuse (ACEDH Osmanoğlu et Kocabaş c. Suisse du 10 janvier 2017,</w:t>
      </w:r>
    </w:p>
    <w:p>
      <w:r>
        <w:t>- 11/19 - A/1389/2019 req. 29086/12, § 41). Tel est le cas des prescriptions religieuses relatives à l’habillement, comme le voile islamique, la kippa juive, l’habit des religieux chrétiens ou encore le port d’une croix, qui bénéficient aussi de la protection conférée par l’art. 15 Cst. (ATF 142 I 49 consid. 3.6 et les références citées).</w:t>
      </w:r>
    </w:p>
    <w:p>
      <w:r>
        <w:t>c. En l’espèce, en tant que l’art. 3 al. 4 LLE impose aux membres du Grand Conseil et des conseils municipaux de s’abstenir de signaler leur appartenance religieuse, il emporte une restriction à la liberté de conscience et de croyance des personnes concernées. Ces dispositions excluent ainsi que, s’agissant de la manifestation extérieure de leurs convictions, ces personnes fassent montre de leur foi, notamment par le port du voile islamique, de la kippa juive ou d’une croix chrétienne, éléments protégés par la liberté de conscience et de croyance, qui garantit la possibilité d’agir conformément à ses convictions religieuses.</w:t>
      </w:r>
    </w:p>
    <w:p>
      <w:r>
        <w:t>Il en va de même des restrictions des manifestations religieuses cultuelles ou non se déroulant sur le domaine public visées à l’art. 6 LLE, qui tombent dans le champ de protection de la liberté religieuse. Celle-ci constitue ainsi une garantie spécifique dans le cadre de laquelle le grief de la violation de la liberté de réunion et de manifestation se confond avec celui de la violation de la liberté de conscience et de croyance (ATF 108 Ia 41 consid. 2 ; Jacques DUBEY, Droits fondamentaux, vol. II, 2018, n. 1946).</w:t>
      </w:r>
    </w:p>
    <w:p>
      <w:r>
        <w:t>Même si la manifestation extérieure d’une religion peut non seulement être importante aux yeux des personnes concernées mais également obéir à une exigence impérative de celle-ci, elle n’appartient pas, selon la jurisprudence, au noyau intangible de la liberté de conscience et de croyance (ATF 142 I 195 consid. 5.4 ; 142 I 49 consid. 6 ; 123 I 296 consid. 2b/cc), pour autant du reste que la notion de noyau intangible ait une quelconque portée sur le plan juridique, ce qui est contesté par une partie de la doctrine (Pierre TSCHANNEN, Staatsrecht der Schweizerischen Eigenossenschaft, 4e éd., 2016, § 7 n. 115 ; Andreas AUER / Giorgio MALINVERNI / Michel HOTTELIER, Droit constitutionnel suisse, vol. II, 3e éd., 2013, n. 254 ; Christof RIEDO / Marcel Alexander NIGGLI, Unantastbar ? Bemerkungen zum so genannten Kerngehalt von Grundrechten oder Much Ado About Nothing, PJA 2011 p. 762-770). À l’instar des autres libertés, elle peut ainsi être restreinte aux conditions posées par l’art. 36 Cst. 6)</w:t>
      </w:r>
    </w:p>
    <w:p>
      <w:r>
        <w:t>Les restrictions à la liberté de conscience et de croyance ne sont admissibles que si elles satisfont aux conditions prévues en cas de restriction aux droits fondamentaux. Elles doivent ainsi reposer sur une base légale, être justifiées par un intérêt public ou par la protection d’un droit fondamental d’autrui et être proportionnées au but visé (art. 36 al. 1 à 3 Cst. ; art. 43 al. 1 à 3 Cst-GE ; ATF 139 I 280 consid. 4.3 et les références citées).</w:t>
      </w:r>
    </w:p>
    <w:p>
      <w:r>
        <w:t>- 12/19 - A/1389/2019 7) a. Les restrictions graves doivent reposer sur une disposition claire et expresse de la loi au sens formel (art. 36 al. 1, 2ème phrase, Cst.). Se déduisant du principe de la légalité, l’exigence de densité normative suffisante renvoie au degré de clarté et de précision que des dispositions générales et abstraites doivent avoir pour que leur application soit prévisible (ACST/19/2018 du 15 août 2018 consid. 6a et les références citées ; ACEDH İzzettin Doğan et autres c. Turquie précité, § 99). Le degré de précision exigible ne peut toutefois pas être défini abstraitement car il dépend de la diversité des états de fait à réglementer,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consid. 5.1 et les références citées).</w:t>
      </w:r>
    </w:p>
    <w:p>
      <w:r>
        <w:t>La gravité de l’atteinte à un droit fondamental s’apprécie selon des critères objectifs. Toutefois, dans le domaine de la liberté de conscience et de croyance, cette appréciation est difficile, dans la mesure où les sentiments et les convictions religieux sont motivés de manière subjective. Les organes étatiques doivent ainsi se référer à la signification des règles religieuses pour les personnes concernées (ATF 139 I 280 consid. 5.2 et les références citées ; arrêt du Tribunal fédéral 2C_546/2018 du 11 mars 2019 consid. 4.3). Le Tribunal fédéral a ainsi considéré que l’interdiction générale de porter le voile pendant la classe, imposée à une élève, comportait une restriction grave de sa liberté de conscience et de croyance (ATF 142 I 49 consid. 7.2 et les références citées). Il a toutefois laissé la question de la gravité de l’atteinte ouverte dans le cas d’une interdiction faite à une enseignante de porter le voile à l’école, considérant qu’il suffisait que la prescription de comportement découle d’une obligation plus générale contenue dans la loi au sens formel (ATF 123 I 269 consid. 3). Plus récemment, il a jugé qu’un règlement cantonal qui interdisait aux magistrats et autres membres du pouvoir judiciaire le port de symboles religieux visibles dans leurs contacts avec le public était suffisamment précis pour permettre aux personnes concernées d’adapter leur comportement en conséquence (arrêt du Tribunal fédéral 2C_546/2018 précité consid. 4.3.3).</w:t>
      </w:r>
    </w:p>
    <w:p>
      <w:r>
        <w:t>b. En l’espèce, les dispositions litigieuses figurent dans la LLE, soit une loi au sens formel qui a été soumise au référendum.</w:t>
      </w:r>
    </w:p>
    <w:p>
      <w:r>
        <w:t>La portée de l’art. 3 al. 4 est limitée, dès lors qu’il ne s’applique, d’une part, qu’aux signes extérieurs et, d’autre part, que dans le cadre des séances plénières et de représentations officielles. Cet article ne comporte aucune restriction supplémentaire à la liberté religieuse des personnes visées en dehors de ces situations et dans leur vie quotidienne. À cela s’ajoute qu’à la différence d’élèves qui se verraient interdire le port d’un signe religieux à l’école (cf. ATF 142 I 49 consid. 7.2), il peut être attendu des personnes concernées, qui occupent les plus hautes fonctions de l’État, qu’elles composent dans une certaine mesure avec une</w:t>
      </w:r>
    </w:p>
    <w:p>
      <w:r>
        <w:t>- 13/19 - A/1389/2019 telle situation conflictuelle (arrêt du Tribunal fédéral 2C_546/2018 précité consid. 4.3.3).</w:t>
      </w:r>
    </w:p>
    <w:p>
      <w:r>
        <w:t>Il en va de même s’agissant de la portée de l’art. 6 LLE, qui s’applique aux seules manifestations religieuses, lesquelles sont soumises à autorisation en cas d’utilisation du domaine public.</w:t>
      </w:r>
    </w:p>
    <w:p>
      <w:r>
        <w:t>De ce point de vue, l’on ne saurait, objectivement et abstraitement, qualifier l’atteinte de grave, de sorte que des exigences trop sévères quant à la précision de la formulation des dispositions contestées ne peuvent être posées (cf. ATF 128 I 295 consid. 5b/aa).</w:t>
      </w:r>
    </w:p>
    <w:p>
      <w:r>
        <w:t>c. Selon le recourant, les dispositions litigieuses ne seraient pas suffisamment déterminées, puisqu’elles ne comportent aucune définition des termes utilisés, qui seraient sujets à interprétation. S’il est vrai que la formulation des art. 3 al. 4 et art. 6 LLE est large, le fait qu’ils soient sujets à interprétation ne permet pas encore de conclure qu’ils seraient trop imprécis pour être appliqués de façon prévisible, dans un cas particulier (arrêt du Tribunal fédéral 2C_546/2018 précité consid. 4.4.1). Ces articles, rédigés en termes généraux et abstraits, définissent leur champ d’application personnel, matériel et temporel de manière suffisante pour que les personnes concernées puissent adapter leur comportement en conséquence.</w:t>
      </w:r>
    </w:p>
    <w:p>
      <w:r>
        <w:t>Bien que la distinction entre les manifestations religieuses de nature cultuelle et non cultuelle de l’art. 6 LLE puisse ne pas être évidente à prime abord, il ressort néanmoins des travaux législatifs que les premières concernent l’accomplissement d’actes ou de rites liés à la liturgie d’une religion, ce que prévoyait au demeurant déjà l’aLCExt, étant précisé que le projet du Conseil d’État en donnait également une définition. Par ailleurs, en cas d’usage accru du domaine public, en particulier lors de manifestations au sens de l’art. 2 LMDPu, l’exigence d’une base légale doit être relativisée, comme le retient la jurisprudence (ATF 119 Ia 445 consid. 2a).</w:t>
      </w:r>
    </w:p>
    <w:p>
      <w:r>
        <w:t>À ces éléments s’ajoute le fait que dans le cadre du présent recours, le juge constitutionnel, chargé du contrôle abstrait des normes, doit faire preuve d’une certaine retenue, un contrôle concret de l’application des dispositions litigieuses dans un cas particulier demeurant par ailleurs possible (ACST/19/2018 précité consid. 6c). 8) a. Les restrictions de la liberté de conscience et de croyance doivent répondre à un intérêt public ou se justifier par la protection d’un droit fondamental d’autrui (art. 36 al. 2 Cst.). La notion d’intérêt public varie en fonction du temps et des lieux et comprend non seulement les biens de police (tels que l’ordre, la sécurité, la santé et la paix publics), mais aussi les valeurs culturelles, écologiques et sociales dont les tâches de l’État sont l’expression. Il incombe au législateur de</w:t>
      </w:r>
    </w:p>
    <w:p>
      <w:r>
        <w:t>- 14/19 - A/1389/2019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(ATF 142 I 49 consid. 8.1 et les références citées).</w:t>
      </w:r>
    </w:p>
    <w:p>
      <w:r>
        <w:t>b. Selon le recourant, les dispositions contestées ne poursuivraient aucun intérêt public.</w:t>
      </w:r>
    </w:p>
    <w:p>
      <w:r>
        <w:t>L’art. 3 al. 4 et l’art. 6 LLE consacrent la neutralité confessionnelle de l’État, dont le but est non seulement de protéger les convictions religieuses des citoyens, mais également d’assurer la paix religieuse (ATF 142 I 49 consid. 8.2.3 ; 123 I 296 consid. 4a, 4b/bb), dans un esprit de tolérance et d’ouverture (ACEDH S.A.S c. France du 1er juillet 2014, Grande Chambre, req. 43835/11, Rec. 2014, § 121 et Lautsi et autres c. Italie du 18 mars 2011, req. 30814/06, Rec. 2011, § 60). Ils imposent à l’État, et par là même aux personnes qui l’incarnent, de s’abstenir, dans les actes publics, de toute considération confessionnelle ou religieuse susceptible de compromettre la liberté des citoyens dans une société pluraliste, en montrant que l’État ne s’identifie pas à une croyance déterminée (arrêt du Tribunal fédéral 2C_546/2018 précité consid. 4.5). En cela, ils poursuivent également le but de protéger les droits et libertés d’autrui en préservant le respect de toutes les croyances religieuses et orientations spirituelles des citoyens, destinataires de l’exigence de neutralité imposée à l’État, en leur assurant une stricte égalité, sans distinction de religion (ACEDH Ebrahimian c. France du 26 novembre 2015, req. 64846/11, Rec. 2015, § 53, et Leyla Şahin c. Turquie précité § 99).</w:t>
      </w:r>
    </w:p>
    <w:p>
      <w:r>
        <w:t>Dans ce cadre, un tel intérêt public n’apparaît pas contraire à la politique d’intégration poursuivie par l’État, puisqu’il tend à traiter de manière égale tous les citoyens du point de vue de leurs conceptions philosophiques et religieuses, en se fondant sur la tradition de laïcité du canton de Genève (ATF 142 I 49 consid. 4.4 ; 139 I 280 consid. 5.5 ; sur cette notion, voir Tristan ZIMMERMANN, La laïcité et la République et canton de Genève, SJ 2011 29-77, p. 60 ss), ancrée à l’art. 3 al. 1 Cst-GE. Que cette disposition n’oblige pas les autorités à légiférer n’y change rien et n’est pas déterminant, la disposition constitutionnelle en cause ne le prohibant pas non plus.</w:t>
      </w:r>
    </w:p>
    <w:p>
      <w:r>
        <w:t>Si une interdiction générale des manifestations religieuses de nature cultuelle sur le domaine public ne répond, selon la jurisprudence, à aucun intérêt public, comme l’a relevé le Tribunal fédéral en lien avec l’ancienne aLCExt (ATF 108 Ia 41 consid. 2), qui prohibait toute célébration de culte, procession ou cérémonie religieuse sur la voie publique (art. 1 aLCExt), une limitation de celles-ci peut répondre à des motifs d’ordre et de sécurité publics, étant précisé qu’il n’existe pas de droit inconditionnel à un usage accru du domaine public.</w:t>
      </w:r>
    </w:p>
    <w:p>
      <w:r>
        <w:t>- 15/19 - A/1389/2019</w:t>
      </w:r>
    </w:p>
    <w:p>
      <w:r>
        <w:t>L’adoption des dispositions contestées répond ainsi à des intérêts publics admissibles. 9) a. Pour qu’une restriction d’un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ATF 142 I 49 consid. 9.1).</w:t>
      </w:r>
    </w:p>
    <w:p>
      <w:r>
        <w:t>Selon l’art. 9 § 2 CEDH, toute ingérence dans l’exercice du droit à la liberté de religion doit être nécessaire dans une société démocratique. Une ingérence est considérée comme telle pour atteindre un but légitime si elle répond à un besoin social impérieux et, en particulier, si elle est proportionnée au but légitime poursuivi (ACEDH İzzettin Doğan et autres c. Turquie précité, § 105). Selon la CourEDH, dans une société démocratique, où plusieurs religions coexistent au sein d’une même population, il peut se révéler nécessaire d’assortir la liberté de manifester sa religion ou ses convictions de limitations propres à concilier les intérêts des divers groupes et à assurer le respect des convictions de chacun (ACEDH İzzettin Doğan et autres c. Turquie précité, § 106, et Kokkinakis c. Grèce précité, § 33). La CourEDH a en particulier considéré que l’interdiction du port de vêtements ou symboles à caractère religieux sur le lieu de travail dans le cadre de fonctions officielles, faite à des fonctionnaires susceptibles d’être soumis à un devoir de discrétion, de neutralité et d’impartialité, était nécessaire dans une société démocratique (sous l’angle de la recevabilité de la requête, voir DCEDH Kurtulmuş c. Turquie du 24 janvier 2006, req. 65500/01, Rec. 2006-II, au sujet de l’interdiction faite à une professeure d’université de porter un voile lorsqu’elle enseignait ; Dahlab c. Suisse du 15 février 2001, req. 42393/98, Rec. 2001-V, sur l’interdiction faite à une enseignante de porter un voile à l’école ; Pitkevich c. Russie du 8 février 2001, req. 47936/99, concernant la révocation d’une juge au motif, notamment, qu’elle s’était livrée au prosélytisme et avait prié pendant des audiences ; sur le fond, voir l’ACEDH Ebrahimian c. France précité au sujet de l’interdiction faite à une assistante sociale d’un hôpital public de porter un voile sur son lieu de travail ou encore l’ACEDH Eweida et autres c. Royaume-Uni du 15 janvier 2013, req. 48420/10, Rec. 2013, au sujet du port d’une croix chrétienne sur le lieu de travail).).</w:t>
      </w:r>
    </w:p>
    <w:p>
      <w:r>
        <w:t>b. En l’espèce, le recourant tient pour disproportionnées les restrictions à la liberté de conscience et de croyance opérées par les art. 3 al. 4 et 6 LLE.</w:t>
      </w:r>
    </w:p>
    <w:p>
      <w:r>
        <w:t>c. C’est à juste titre qu’il soutient que la condition et la fonction des membres du Grand Conseil et des conseils municipaux ne s’apparente pas à celles des personnes visées à l’art. 3 al. 3 et 5 LLE. Bien que la portée de l’interdiction de l’art. 3 al. 4 LLE soit limitée aux signes extérieurs lors de séances plénières et de</w:t>
      </w:r>
    </w:p>
    <w:p>
      <w:r>
        <w:t>- 16/19 - A/1389/2019 représentations officielles, elle n’apparaît ni apte ni nécessaire à atteindre le but d’intérêt public poursuivi.</w:t>
      </w:r>
    </w:p>
    <w:p>
      <w:r>
        <w:t>En effet, en tant que membres d’un organe législatif de milice, les parlementaires n’ont pas vocation à représenter l’État mais la société et son pluralisme, qu’ils incarnent, ce qui ressort de divers avis exprimés lors des travaux législatifs ayant mené à l’adoption de l’art. 3 al. 4 LLE. Cet article a d’ailleurs tenu compte de cette particularité en limitant l’interdiction de l’appartenance religieuse aux seuls signes extérieurs, sans égard aux propos pouvant être prononcés, lesquels demeurent libres, y compris d’un point de vue religieux. L’on ne voit ainsi pas ce qui justifierait que la même liberté ne leur soit pas accordée en matière de signes religieux extérieurs.</w:t>
      </w:r>
    </w:p>
    <w:p>
      <w:r>
        <w:t>Imposer aux organes législatifs une totale neutralité confessionnelle, sans égards à leurs particularités, met au surplus à mal le principe démocratique exprimé à l’art. 51 Cst., qui impose aux cantons de se doter notamment d’un parlement élu au suffrage universel (ACST/15/2019 du 25 mars 2019 consid. 3b). Dans ce cadre, les membres du parlement – qui ne sont en Suisse, que ce soit au niveau fédéral ou au niveau cantonal ou communal, pas des professionnels – sont censés représenter différents courants d’opinions, y compris religieuses, qui se retrouvent dans la société, le rôle de l’État n’étant pas d’éliminer ce pluralisme mais bien de le consacrer pour qu’il se traduise dans la composition des organes législatifs. Du reste, bien que cela ne soit pas déterminant, aucun canton suisse ne prévoit en l’état une telle règle pour les membres de son parlement ou de ses organes délibératifs.</w:t>
      </w:r>
    </w:p>
    <w:p>
      <w:r>
        <w:t>L’art. 3 al. 4 LLE revient en outre, dans les faits, à créer une règle d’incompatibilité confessionnelle prohibée (ATF 114 Ia 395 consid. 8f/g), en empêchant les personnes manifestant leur appartenance religieuse d’accéder à un mandat électif, alors que la laïcité ne se présente plus comme une condition d’accès à ces fonctions. Il ne ressort d’ailleurs pas des travaux de la Constituante que celle-ci aurait voulu, lors de l’adoption de l’art. 3 Cst-GE, étendre l’exigence de neutralité confessionnelle aux membres des parlements, contrairement aux personnes exerçant une charge élective permanente comme les conseillers d’État ou les juges (Michel HOTTELIER, L’exigence de laïcité au regard de la Constitution genevoise du 14 octobre 2012, in : Frédéric BERNARD / Eleanor MCGREGOR / Diane VALLÉE-GRISEL [éd.], Études en l’honneur de Tristan Zimmermann, Constitution et religion, Les droits de l’homme en mémoire, 2017, 151-166, p. 158).</w:t>
      </w:r>
    </w:p>
    <w:p>
      <w:r>
        <w:t>Il résulte de ces éléments que dans le cas des organes délibératifs, il est disproportionné de faire primer l’aspect institutionnel de la liberté religieuse sur son aspect individuel. Il s’ensuit que l’art. 3 al. 4 LLE, qui ne peut faire l’objet d’aucune interprétation conforme au droit supérieur, sera annulé.</w:t>
      </w:r>
    </w:p>
    <w:p>
      <w:r>
        <w:t>- 17/19 - A/1389/2019</w:t>
      </w:r>
    </w:p>
    <w:p>
      <w:r>
        <w:t>d. Bien que l’art. 6 al. 1 et 2, contrairement à l’art. 1 aLCExt, n’emporte aucune interdiction absolue des manifestations religieuses de nature cultuelle sur le domaine public, il n’en demeure pas moins qu’il les restreint fortement, en prévoyant qu’elles ne peuvent être autorisées qu’exceptionnellement. Une telle restriction apparaît disproportionnée et peu compatible avec la jurisprudence fédérale, même ancienne (ATF 108 Ia 41). L’on ne voit ainsi pas en quoi elle serait apte et nécessaire à atteindre le but d’intérêt public visé, soit le maintien de l’ordre et de la sécurité publics, dès lors qu’en tout état de cause ce type de manifestation, à l’instar de tout autre usage accru du domaine public, est soumis à autorisation aux conditions figurant dans la LMDPu - à laquelle renvoie l’art. 6 al. 2 LLE -, qui permet déjà de tenir compte de ces intérêts publics dans le cadre de l’octroi de l’autorisation y afférente.</w:t>
      </w:r>
    </w:p>
    <w:p>
      <w:r>
        <w:t>Il est néanmoins possible de donner à l’art. 6 al. 1 et 2 LLE une interprétation conforme au droit supérieur, dans le sens où, lorsque les manifestations cultuelles ne peuvent pas, pour une raison ou une autre, se dérouler sur le domaine privé, même si celui-ci ne doit pas être nécessairement clos selon les travaux préparatoires, alors elles doivent pouvoir se dérouler sur le domaine public aux mêmes conditions que les manifestations religieuses non cultuelles visées à l’art. 6 al. 3 LLE, en application de la LMDPu, étant précisé que, dans tous les cas, il n’existe pas de droit inconditionnel à un usage accru du domaine public (cf. arrêt du Tribunal fédéral 1C_451/2018 du 13 septembre 2019 consid. 3.1.1) et que l’abus de droit est réservé. Quant à l’art. 6 al. 4 LLE, qui n’est pas contesté en tant que tel par le recourant, il n’apparaît, selon les travaux législatifs, pas avoir de portée propre pour refuser une autorisation de manifestation religieuse selon l’al. 2 ou 3 de l’art. 6 LLE, mais rappelle les éléments entrant en compte dans l’octroi ou le refus de l’autorisation y relative. 10) Par conséquent, le recours sera partiellement admis et l’art. 3 al. 4 LLE annulé. 11) Vu l’issue du litige, un émolument – réduit – de CHF 500.- sera mis à la charge du recourant (art. 87 al. 1 LPA), qui succombe en partie, et une indemnité de procédure de CHF 1'000.- lui sera allouée, à la charge de l’État de Genève, dès lors qu’il obtient partiellement gain de cause et qu’il a pris des conclusions dans ce sens (art. 87 al. 2 LPA). * * * * *</w:t>
      </w:r>
    </w:p>
    <w:p>
      <w:r>
        <w:t>- 18/19 - A/1389/2019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